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2C" w:rsidRDefault="0056192C">
      <w:pPr>
        <w:widowControl w:val="0"/>
        <w:pBdr>
          <w:top w:val="nil"/>
          <w:left w:val="nil"/>
          <w:bottom w:val="nil"/>
          <w:right w:val="nil"/>
          <w:between w:val="nil"/>
        </w:pBdr>
        <w:spacing w:line="276" w:lineRule="auto"/>
      </w:pPr>
    </w:p>
    <w:p w:rsidR="0056192C" w:rsidRDefault="0056192C">
      <w:pPr>
        <w:widowControl w:val="0"/>
        <w:pBdr>
          <w:top w:val="nil"/>
          <w:left w:val="nil"/>
          <w:bottom w:val="nil"/>
          <w:right w:val="nil"/>
          <w:between w:val="nil"/>
        </w:pBdr>
        <w:spacing w:line="276" w:lineRule="auto"/>
        <w:rPr>
          <w:color w:val="000000"/>
          <w:sz w:val="22"/>
          <w:szCs w:val="22"/>
        </w:rPr>
      </w:pPr>
    </w:p>
    <w:tbl>
      <w:tblPr>
        <w:tblStyle w:val="a3"/>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8"/>
        <w:gridCol w:w="3240"/>
      </w:tblGrid>
      <w:tr w:rsidR="0056192C">
        <w:trPr>
          <w:trHeight w:val="795"/>
        </w:trPr>
        <w:tc>
          <w:tcPr>
            <w:tcW w:w="7398" w:type="dxa"/>
          </w:tcPr>
          <w:p w:rsidR="0056192C" w:rsidRDefault="00297432">
            <w:pPr>
              <w:rPr>
                <w:sz w:val="28"/>
                <w:szCs w:val="28"/>
              </w:rPr>
            </w:pPr>
            <w:r>
              <w:t xml:space="preserve">TITLE:  </w:t>
            </w:r>
            <w:r>
              <w:rPr>
                <w:sz w:val="28"/>
                <w:szCs w:val="28"/>
              </w:rPr>
              <w:t xml:space="preserve">Protocol and Standing Orders for Evaluation and </w:t>
            </w:r>
          </w:p>
          <w:p w:rsidR="0056192C" w:rsidRDefault="00297432" w:rsidP="0020246A">
            <w:pPr>
              <w:pStyle w:val="NormalWeb"/>
              <w:spacing w:before="0" w:beforeAutospacing="0" w:after="0" w:afterAutospacing="0"/>
            </w:pPr>
            <w:r>
              <w:rPr>
                <w:sz w:val="28"/>
                <w:szCs w:val="28"/>
              </w:rPr>
              <w:t>Management of Tuberculosis Infection and Disease</w:t>
            </w:r>
            <w:r w:rsidR="0020246A">
              <w:rPr>
                <w:sz w:val="28"/>
                <w:szCs w:val="28"/>
              </w:rPr>
              <w:t xml:space="preserve"> </w:t>
            </w:r>
            <w:r w:rsidR="0020246A">
              <w:rPr>
                <w:color w:val="000000"/>
                <w:sz w:val="28"/>
                <w:szCs w:val="28"/>
              </w:rPr>
              <w:t xml:space="preserve">with Tuberculin Skin Test (TST), Interferon Gamma-Release Assay Test (IGRA), and chest </w:t>
            </w:r>
            <w:proofErr w:type="spellStart"/>
            <w:r w:rsidR="0020246A">
              <w:rPr>
                <w:color w:val="000000"/>
                <w:sz w:val="28"/>
                <w:szCs w:val="28"/>
              </w:rPr>
              <w:t>Xray</w:t>
            </w:r>
            <w:proofErr w:type="spellEnd"/>
            <w:r w:rsidR="0020246A">
              <w:rPr>
                <w:color w:val="000000"/>
                <w:sz w:val="28"/>
                <w:szCs w:val="28"/>
              </w:rPr>
              <w:t xml:space="preserve"> (CXR)</w:t>
            </w:r>
          </w:p>
        </w:tc>
        <w:tc>
          <w:tcPr>
            <w:tcW w:w="3240" w:type="dxa"/>
          </w:tcPr>
          <w:p w:rsidR="0056192C" w:rsidRDefault="00297432">
            <w:pPr>
              <w:spacing w:before="120" w:after="120"/>
            </w:pPr>
            <w:r>
              <w:t>E</w:t>
            </w:r>
            <w:r>
              <w:t xml:space="preserve">FFECTIVE DATE: </w:t>
            </w:r>
          </w:p>
        </w:tc>
      </w:tr>
      <w:tr w:rsidR="0056192C">
        <w:trPr>
          <w:trHeight w:val="1050"/>
        </w:trPr>
        <w:tc>
          <w:tcPr>
            <w:tcW w:w="7398" w:type="dxa"/>
          </w:tcPr>
          <w:p w:rsidR="0056192C" w:rsidRDefault="00297432">
            <w:pPr>
              <w:spacing w:before="120" w:after="120"/>
            </w:pPr>
            <w:r>
              <w:t xml:space="preserve">APPROVED BY: </w:t>
            </w:r>
          </w:p>
          <w:p w:rsidR="0056192C" w:rsidRDefault="00297432">
            <w:pPr>
              <w:spacing w:before="120" w:after="120"/>
            </w:pPr>
            <w:r>
              <w:t>__________________________________________________________</w:t>
            </w:r>
          </w:p>
          <w:p w:rsidR="0056192C" w:rsidRDefault="00297432">
            <w:pPr>
              <w:spacing w:before="120" w:after="120"/>
              <w:rPr>
                <w:color w:val="222222"/>
                <w:sz w:val="15"/>
                <w:szCs w:val="15"/>
                <w:highlight w:val="white"/>
              </w:rPr>
            </w:pPr>
            <w:r>
              <w:rPr>
                <w:color w:val="222222"/>
                <w:sz w:val="15"/>
                <w:szCs w:val="15"/>
                <w:highlight w:val="white"/>
              </w:rPr>
              <w:t>Local Public Health Agency Medical Director (Print Name and Signature)                           (Date)</w:t>
            </w:r>
          </w:p>
          <w:p w:rsidR="0056192C" w:rsidRDefault="00297432">
            <w:pPr>
              <w:spacing w:before="120" w:after="120"/>
            </w:pPr>
            <w:r>
              <w:t>__________________________________________________________</w:t>
            </w:r>
          </w:p>
          <w:p w:rsidR="0056192C" w:rsidRDefault="00297432">
            <w:pPr>
              <w:spacing w:before="120" w:after="120"/>
              <w:rPr>
                <w:color w:val="222222"/>
                <w:sz w:val="15"/>
                <w:szCs w:val="15"/>
                <w:highlight w:val="white"/>
              </w:rPr>
            </w:pPr>
            <w:r>
              <w:rPr>
                <w:sz w:val="16"/>
                <w:szCs w:val="16"/>
              </w:rPr>
              <w:t xml:space="preserve">LPHA Director (Print Name and Signature)                                                     </w:t>
            </w:r>
            <w:r>
              <w:rPr>
                <w:sz w:val="16"/>
                <w:szCs w:val="16"/>
              </w:rPr>
              <w:t xml:space="preserve">                          </w:t>
            </w:r>
            <w:r>
              <w:rPr>
                <w:color w:val="222222"/>
                <w:sz w:val="15"/>
                <w:szCs w:val="15"/>
                <w:highlight w:val="white"/>
              </w:rPr>
              <w:t xml:space="preserve"> (Date)</w:t>
            </w:r>
          </w:p>
        </w:tc>
        <w:tc>
          <w:tcPr>
            <w:tcW w:w="3240" w:type="dxa"/>
          </w:tcPr>
          <w:p w:rsidR="0056192C" w:rsidRDefault="00297432">
            <w:pPr>
              <w:spacing w:before="120" w:after="120"/>
            </w:pPr>
            <w:r>
              <w:t>REVISION DATE:</w:t>
            </w:r>
          </w:p>
        </w:tc>
      </w:tr>
    </w:tbl>
    <w:p w:rsidR="0056192C" w:rsidRDefault="0056192C">
      <w:pPr>
        <w:spacing w:before="120" w:after="120"/>
        <w:rPr>
          <w:sz w:val="18"/>
          <w:szCs w:val="18"/>
        </w:rPr>
      </w:pPr>
    </w:p>
    <w:p w:rsidR="0056192C" w:rsidRDefault="00297432">
      <w:pPr>
        <w:spacing w:before="120" w:after="120"/>
      </w:pPr>
      <w:r>
        <w:rPr>
          <w:b/>
          <w:sz w:val="26"/>
          <w:szCs w:val="26"/>
        </w:rPr>
        <w:t>CONDITION FOR PROTOCOL:</w:t>
      </w:r>
      <w:r>
        <w:rPr>
          <w:sz w:val="26"/>
          <w:szCs w:val="26"/>
        </w:rPr>
        <w:t xml:space="preserve"> </w:t>
      </w:r>
      <w:r>
        <w:t xml:space="preserve">To detect </w:t>
      </w:r>
      <w:r>
        <w:rPr>
          <w:i/>
        </w:rPr>
        <w:t xml:space="preserve">Mycobacterium tuberculosis </w:t>
      </w:r>
      <w:r>
        <w:t xml:space="preserve">(TB) infection in individuals who meet the criteria for targeted testing as defined by the Colorado TB Risk Assessment. </w:t>
      </w:r>
    </w:p>
    <w:p w:rsidR="0056192C" w:rsidRDefault="00297432">
      <w:pPr>
        <w:numPr>
          <w:ilvl w:val="0"/>
          <w:numId w:val="10"/>
        </w:numPr>
        <w:spacing w:before="120"/>
      </w:pPr>
      <w:hyperlink r:id="rId8">
        <w:r>
          <w:rPr>
            <w:color w:val="1155CC"/>
            <w:u w:val="single"/>
          </w:rPr>
          <w:t>Adult Tuberculosis Risk Assessment Form</w:t>
        </w:r>
      </w:hyperlink>
      <w:bookmarkStart w:id="0" w:name="_GoBack"/>
      <w:bookmarkEnd w:id="0"/>
    </w:p>
    <w:p w:rsidR="0056192C" w:rsidRDefault="00297432">
      <w:pPr>
        <w:numPr>
          <w:ilvl w:val="1"/>
          <w:numId w:val="10"/>
        </w:numPr>
      </w:pPr>
      <w:hyperlink r:id="rId9">
        <w:r>
          <w:rPr>
            <w:color w:val="1155CC"/>
            <w:u w:val="single"/>
          </w:rPr>
          <w:t>User G</w:t>
        </w:r>
        <w:r>
          <w:rPr>
            <w:color w:val="1155CC"/>
            <w:u w:val="single"/>
          </w:rPr>
          <w:t xml:space="preserve">uide </w:t>
        </w:r>
      </w:hyperlink>
    </w:p>
    <w:p w:rsidR="0056192C" w:rsidRDefault="00297432">
      <w:pPr>
        <w:numPr>
          <w:ilvl w:val="0"/>
          <w:numId w:val="10"/>
        </w:numPr>
      </w:pPr>
      <w:hyperlink r:id="rId10">
        <w:r>
          <w:rPr>
            <w:color w:val="1155CC"/>
            <w:u w:val="single"/>
          </w:rPr>
          <w:t>Pediatric Tuberculosis Risk Assessment Form</w:t>
        </w:r>
      </w:hyperlink>
    </w:p>
    <w:p w:rsidR="0056192C" w:rsidRDefault="00297432">
      <w:pPr>
        <w:numPr>
          <w:ilvl w:val="1"/>
          <w:numId w:val="10"/>
        </w:numPr>
        <w:spacing w:after="120"/>
      </w:pPr>
      <w:hyperlink r:id="rId11">
        <w:r>
          <w:rPr>
            <w:color w:val="1155CC"/>
            <w:u w:val="single"/>
          </w:rPr>
          <w:t>User Guide</w:t>
        </w:r>
      </w:hyperlink>
    </w:p>
    <w:p w:rsidR="0056192C" w:rsidRDefault="00297432">
      <w:pPr>
        <w:spacing w:before="120" w:after="120"/>
      </w:pPr>
      <w:r>
        <w:rPr>
          <w:b/>
          <w:sz w:val="26"/>
          <w:szCs w:val="26"/>
        </w:rPr>
        <w:t>PURPOSE:</w:t>
      </w:r>
      <w:r>
        <w:t xml:space="preserve"> To provide clinical staff with medical guidelines for evaluating and managing patients who present for Tuberculosis screening. The RN is the agent of the prescriber delegated to refill medications or Purified Protein Derivative (PPD) </w:t>
      </w:r>
      <w:r>
        <w:t>as per the following procedure. This document is intended to complement consultation from the TB medical consultant/control officer where appropriate.</w:t>
      </w:r>
    </w:p>
    <w:p w:rsidR="0056192C" w:rsidRDefault="00297432">
      <w:pPr>
        <w:spacing w:before="120" w:after="120"/>
        <w:rPr>
          <w:b/>
          <w:highlight w:val="white"/>
        </w:rPr>
      </w:pPr>
      <w:r>
        <w:rPr>
          <w:b/>
          <w:highlight w:val="white"/>
        </w:rPr>
        <w:t xml:space="preserve">Rules and Regulations Scope of Practice and Delegation: </w:t>
      </w:r>
    </w:p>
    <w:p w:rsidR="0056192C" w:rsidRDefault="00297432">
      <w:pPr>
        <w:numPr>
          <w:ilvl w:val="0"/>
          <w:numId w:val="8"/>
        </w:numPr>
        <w:spacing w:before="120"/>
        <w:rPr>
          <w:highlight w:val="white"/>
        </w:rPr>
      </w:pPr>
      <w:r>
        <w:rPr>
          <w:b/>
          <w:highlight w:val="white"/>
        </w:rPr>
        <w:t xml:space="preserve"> </w:t>
      </w:r>
      <w:hyperlink r:id="rId12">
        <w:r>
          <w:rPr>
            <w:color w:val="1155CC"/>
            <w:highlight w:val="white"/>
            <w:u w:val="single"/>
          </w:rPr>
          <w:t>Licensed Medical Doctor</w:t>
        </w:r>
      </w:hyperlink>
    </w:p>
    <w:p w:rsidR="0056192C" w:rsidRDefault="00297432">
      <w:pPr>
        <w:numPr>
          <w:ilvl w:val="0"/>
          <w:numId w:val="8"/>
        </w:numPr>
        <w:rPr>
          <w:highlight w:val="white"/>
        </w:rPr>
      </w:pPr>
      <w:r>
        <w:rPr>
          <w:highlight w:val="white"/>
        </w:rPr>
        <w:t xml:space="preserve"> </w:t>
      </w:r>
      <w:hyperlink r:id="rId13">
        <w:r>
          <w:rPr>
            <w:color w:val="1155CC"/>
            <w:highlight w:val="white"/>
            <w:u w:val="single"/>
          </w:rPr>
          <w:t>Registered Nurses</w:t>
        </w:r>
      </w:hyperlink>
    </w:p>
    <w:p w:rsidR="0056192C" w:rsidRDefault="00297432">
      <w:pPr>
        <w:numPr>
          <w:ilvl w:val="0"/>
          <w:numId w:val="8"/>
        </w:numPr>
        <w:rPr>
          <w:highlight w:val="white"/>
        </w:rPr>
      </w:pPr>
      <w:hyperlink r:id="rId14">
        <w:r>
          <w:rPr>
            <w:color w:val="1155CC"/>
            <w:highlight w:val="white"/>
            <w:u w:val="single"/>
          </w:rPr>
          <w:t xml:space="preserve"> L</w:t>
        </w:r>
        <w:r>
          <w:rPr>
            <w:color w:val="1155CC"/>
            <w:highlight w:val="white"/>
            <w:u w:val="single"/>
          </w:rPr>
          <w:t>icensed Practical Nurse</w:t>
        </w:r>
      </w:hyperlink>
      <w:r>
        <w:rPr>
          <w:highlight w:val="white"/>
        </w:rPr>
        <w:t xml:space="preserve"> </w:t>
      </w:r>
    </w:p>
    <w:p w:rsidR="0056192C" w:rsidRDefault="00297432">
      <w:pPr>
        <w:numPr>
          <w:ilvl w:val="0"/>
          <w:numId w:val="8"/>
        </w:numPr>
        <w:rPr>
          <w:highlight w:val="white"/>
        </w:rPr>
      </w:pPr>
      <w:r>
        <w:rPr>
          <w:highlight w:val="white"/>
        </w:rPr>
        <w:t xml:space="preserve"> </w:t>
      </w:r>
      <w:hyperlink r:id="rId15">
        <w:r>
          <w:rPr>
            <w:color w:val="1155CC"/>
            <w:highlight w:val="white"/>
            <w:u w:val="single"/>
          </w:rPr>
          <w:t>Certified Nurse Assistant</w:t>
        </w:r>
      </w:hyperlink>
      <w:r>
        <w:rPr>
          <w:highlight w:val="white"/>
        </w:rPr>
        <w:t xml:space="preserve"> </w:t>
      </w:r>
    </w:p>
    <w:p w:rsidR="0056192C" w:rsidRDefault="00297432">
      <w:pPr>
        <w:numPr>
          <w:ilvl w:val="0"/>
          <w:numId w:val="8"/>
        </w:numPr>
        <w:spacing w:after="120"/>
        <w:rPr>
          <w:highlight w:val="white"/>
        </w:rPr>
      </w:pPr>
      <w:r>
        <w:rPr>
          <w:highlight w:val="white"/>
        </w:rPr>
        <w:t xml:space="preserve"> Medical Assistant: See Medical Assistants under “Personnel”</w:t>
      </w:r>
    </w:p>
    <w:p w:rsidR="0056192C" w:rsidRDefault="00297432">
      <w:pPr>
        <w:spacing w:before="120" w:after="120"/>
        <w:rPr>
          <w:b/>
        </w:rPr>
      </w:pPr>
      <w:r>
        <w:rPr>
          <w:b/>
          <w:sz w:val="26"/>
          <w:szCs w:val="26"/>
        </w:rPr>
        <w:t>Definitions:</w:t>
      </w:r>
      <w:r>
        <w:rPr>
          <w:b/>
        </w:rPr>
        <w:t xml:space="preserve"> </w:t>
      </w:r>
    </w:p>
    <w:p w:rsidR="0056192C" w:rsidRDefault="00297432">
      <w:pPr>
        <w:spacing w:before="120" w:after="120"/>
        <w:rPr>
          <w:highlight w:val="white"/>
        </w:rPr>
      </w:pPr>
      <w:r>
        <w:rPr>
          <w:b/>
          <w:highlight w:val="white"/>
        </w:rPr>
        <w:t>Chest X-ray (CXR):</w:t>
      </w:r>
      <w:r>
        <w:rPr>
          <w:highlight w:val="white"/>
        </w:rPr>
        <w:t xml:space="preserve"> Ima</w:t>
      </w:r>
      <w:r>
        <w:rPr>
          <w:highlight w:val="white"/>
        </w:rPr>
        <w:t>ging test that uses X-rays to look at the structures and organs in the chest</w:t>
      </w:r>
    </w:p>
    <w:p w:rsidR="0056192C" w:rsidRDefault="00297432">
      <w:pPr>
        <w:spacing w:before="120" w:after="120"/>
        <w:rPr>
          <w:b/>
          <w:highlight w:val="white"/>
        </w:rPr>
      </w:pPr>
      <w:r>
        <w:rPr>
          <w:b/>
          <w:color w:val="202124"/>
          <w:highlight w:val="white"/>
        </w:rPr>
        <w:t>Delegation:</w:t>
      </w:r>
      <w:r>
        <w:rPr>
          <w:color w:val="202124"/>
          <w:highlight w:val="white"/>
        </w:rPr>
        <w:t xml:space="preserve"> Involves the assignment of the performance of activities or tasks related to patient care to unlicensed assistive personnel while retaining accountability for the outcom</w:t>
      </w:r>
      <w:r>
        <w:rPr>
          <w:color w:val="202124"/>
          <w:sz w:val="26"/>
          <w:szCs w:val="26"/>
          <w:highlight w:val="white"/>
        </w:rPr>
        <w:t>e.</w:t>
      </w:r>
    </w:p>
    <w:p w:rsidR="0056192C" w:rsidRDefault="00297432">
      <w:pPr>
        <w:spacing w:before="120" w:after="120"/>
        <w:rPr>
          <w:highlight w:val="white"/>
        </w:rPr>
      </w:pPr>
      <w:r>
        <w:rPr>
          <w:b/>
          <w:highlight w:val="white"/>
        </w:rPr>
        <w:t xml:space="preserve">Interferon Gamma-Release Assay Test (IGRA): </w:t>
      </w:r>
      <w:r>
        <w:rPr>
          <w:highlight w:val="white"/>
        </w:rPr>
        <w:t>Whole blood test that can aid in the di</w:t>
      </w:r>
      <w:r>
        <w:rPr>
          <w:highlight w:val="white"/>
        </w:rPr>
        <w:t xml:space="preserve">agnosis of TB infection. White blood cells from most persons who are infected with TB will release interferon-gamma (IFN-G) when mixed with antigens derived from </w:t>
      </w:r>
      <w:proofErr w:type="spellStart"/>
      <w:r>
        <w:rPr>
          <w:i/>
          <w:highlight w:val="white"/>
        </w:rPr>
        <w:t>Mtb</w:t>
      </w:r>
      <w:proofErr w:type="spellEnd"/>
      <w:r>
        <w:rPr>
          <w:highlight w:val="white"/>
        </w:rPr>
        <w:t xml:space="preserve">. There are two FDA-approved tests: </w:t>
      </w:r>
      <w:proofErr w:type="spellStart"/>
      <w:r>
        <w:rPr>
          <w:highlight w:val="white"/>
        </w:rPr>
        <w:t>QuantiFERON</w:t>
      </w:r>
      <w:proofErr w:type="spellEnd"/>
      <w:r>
        <w:rPr>
          <w:highlight w:val="white"/>
        </w:rPr>
        <w:t xml:space="preserve"> and T-Spot.</w:t>
      </w:r>
    </w:p>
    <w:p w:rsidR="0056192C" w:rsidRDefault="00297432">
      <w:pPr>
        <w:spacing w:before="120" w:after="120"/>
        <w:rPr>
          <w:highlight w:val="white"/>
        </w:rPr>
      </w:pPr>
      <w:r>
        <w:rPr>
          <w:b/>
          <w:highlight w:val="white"/>
        </w:rPr>
        <w:t>Purified Protein Derivative (PP</w:t>
      </w:r>
      <w:r>
        <w:rPr>
          <w:b/>
          <w:highlight w:val="white"/>
        </w:rPr>
        <w:t xml:space="preserve">D): </w:t>
      </w:r>
      <w:r>
        <w:rPr>
          <w:highlight w:val="white"/>
        </w:rPr>
        <w:t>a sterile aqueous solution of a purified protein fraction for intradermal administration as an aid in the diagnosis of tuberculosis.</w:t>
      </w:r>
    </w:p>
    <w:p w:rsidR="0056192C" w:rsidRDefault="00297432">
      <w:pPr>
        <w:spacing w:before="120" w:after="120"/>
        <w:rPr>
          <w:b/>
          <w:highlight w:val="white"/>
        </w:rPr>
      </w:pPr>
      <w:r>
        <w:rPr>
          <w:b/>
          <w:highlight w:val="white"/>
        </w:rPr>
        <w:lastRenderedPageBreak/>
        <w:t xml:space="preserve">Standing orders: </w:t>
      </w:r>
      <w:r>
        <w:rPr>
          <w:highlight w:val="white"/>
        </w:rPr>
        <w:t xml:space="preserve">Written policy and authorization for nurses and in some cases, medical assistants (within their scope </w:t>
      </w:r>
      <w:r>
        <w:rPr>
          <w:highlight w:val="white"/>
        </w:rPr>
        <w:t xml:space="preserve">of practice and as delegated by the medical doctor) to complete certain tasks without first obtaining a physician order. </w:t>
      </w:r>
    </w:p>
    <w:p w:rsidR="0056192C" w:rsidRDefault="00297432">
      <w:pPr>
        <w:spacing w:before="120" w:after="120"/>
        <w:rPr>
          <w:highlight w:val="white"/>
        </w:rPr>
      </w:pPr>
      <w:r>
        <w:rPr>
          <w:b/>
          <w:highlight w:val="white"/>
        </w:rPr>
        <w:t xml:space="preserve">Tuberculin skin test (TST): </w:t>
      </w:r>
      <w:r>
        <w:rPr>
          <w:highlight w:val="white"/>
        </w:rPr>
        <w:t>Medical test to determine whether a person is infected with mycobacteria and is one method to detect tuber</w:t>
      </w:r>
      <w:r>
        <w:rPr>
          <w:highlight w:val="white"/>
        </w:rPr>
        <w:t xml:space="preserve">culosis infection. </w:t>
      </w:r>
    </w:p>
    <w:p w:rsidR="0056192C" w:rsidRDefault="00297432">
      <w:pPr>
        <w:numPr>
          <w:ilvl w:val="0"/>
          <w:numId w:val="6"/>
        </w:numPr>
        <w:spacing w:before="120" w:after="120"/>
        <w:rPr>
          <w:color w:val="202124"/>
        </w:rPr>
      </w:pPr>
      <w:r>
        <w:rPr>
          <w:color w:val="202124"/>
        </w:rPr>
        <w:t xml:space="preserve">The terms </w:t>
      </w:r>
      <w:proofErr w:type="spellStart"/>
      <w:r>
        <w:rPr>
          <w:color w:val="202124"/>
        </w:rPr>
        <w:t>Mantoux</w:t>
      </w:r>
      <w:proofErr w:type="spellEnd"/>
      <w:r>
        <w:rPr>
          <w:color w:val="202124"/>
        </w:rPr>
        <w:t xml:space="preserve">, TB skin test, tuberculin skin test, and PPD are often used interchangeably. </w:t>
      </w:r>
      <w:proofErr w:type="spellStart"/>
      <w:r>
        <w:rPr>
          <w:color w:val="202124"/>
        </w:rPr>
        <w:t>Mantoux</w:t>
      </w:r>
      <w:proofErr w:type="spellEnd"/>
      <w:r>
        <w:rPr>
          <w:color w:val="202124"/>
        </w:rPr>
        <w:t xml:space="preserve"> refers to the technique for administering the test. Tuberculin (also called purified protein derivative or PPD) is the solution used </w:t>
      </w:r>
      <w:r>
        <w:rPr>
          <w:color w:val="202124"/>
        </w:rPr>
        <w:t>to administer the test, not the test. The preferred term for the test is tuberculin skin test or TST.</w:t>
      </w:r>
    </w:p>
    <w:p w:rsidR="0056192C" w:rsidRDefault="00297432">
      <w:pPr>
        <w:spacing w:before="120" w:after="120"/>
      </w:pPr>
      <w:proofErr w:type="gramStart"/>
      <w:r>
        <w:rPr>
          <w:b/>
          <w:sz w:val="26"/>
          <w:szCs w:val="26"/>
        </w:rPr>
        <w:t>Personnel</w:t>
      </w:r>
      <w:r>
        <w:rPr>
          <w:b/>
          <w:sz w:val="26"/>
          <w:szCs w:val="26"/>
          <w:highlight w:val="white"/>
        </w:rPr>
        <w:t xml:space="preserve"> </w:t>
      </w:r>
      <w:r>
        <w:t xml:space="preserve"> </w:t>
      </w:r>
      <w:proofErr w:type="gramEnd"/>
      <w:r>
        <w:fldChar w:fldCharType="begin"/>
      </w:r>
      <w:r>
        <w:instrText xml:space="preserve"> HYPERLINK "https://drive.google.com/file/d/0B2o0IwpCuPw7SU5iR0tVQUtDVzQ/view?resourcekey=0-HSeGtHXWainvTV_fkqvM1Q" \h </w:instrText>
      </w:r>
      <w:r>
        <w:fldChar w:fldCharType="separate"/>
      </w:r>
      <w:r>
        <w:rPr>
          <w:b/>
          <w:color w:val="1155CC"/>
          <w:sz w:val="20"/>
          <w:szCs w:val="20"/>
          <w:u w:val="single"/>
        </w:rPr>
        <w:t>Colorado TB Program Scope of Practice Guidance</w:t>
      </w:r>
      <w:r>
        <w:rPr>
          <w:b/>
          <w:color w:val="1155CC"/>
          <w:sz w:val="20"/>
          <w:szCs w:val="20"/>
          <w:u w:val="single"/>
        </w:rPr>
        <w:fldChar w:fldCharType="end"/>
      </w:r>
      <w:hyperlink r:id="rId16">
        <w:r>
          <w:rPr>
            <w:color w:val="1155CC"/>
            <w:sz w:val="20"/>
            <w:szCs w:val="20"/>
            <w:u w:val="single"/>
          </w:rPr>
          <w:t xml:space="preserve"> </w:t>
        </w:r>
      </w:hyperlink>
    </w:p>
    <w:p w:rsidR="0056192C" w:rsidRDefault="00297432">
      <w:pPr>
        <w:numPr>
          <w:ilvl w:val="0"/>
          <w:numId w:val="4"/>
        </w:numPr>
        <w:spacing w:before="120" w:after="120"/>
        <w:ind w:left="360"/>
      </w:pPr>
      <w:hyperlink r:id="rId17">
        <w:r>
          <w:rPr>
            <w:b/>
            <w:color w:val="1155CC"/>
            <w:u w:val="single"/>
          </w:rPr>
          <w:t xml:space="preserve">Medical Director (Medical Doctor [MD] or Doctor of Osteopathic Medicine [DO] </w:t>
        </w:r>
      </w:hyperlink>
    </w:p>
    <w:p w:rsidR="0056192C" w:rsidRDefault="00297432">
      <w:pPr>
        <w:numPr>
          <w:ilvl w:val="0"/>
          <w:numId w:val="4"/>
        </w:numPr>
        <w:spacing w:before="120" w:after="120"/>
        <w:ind w:left="360"/>
        <w:rPr>
          <w:rFonts w:ascii="Arial" w:eastAsia="Arial" w:hAnsi="Arial" w:cs="Arial"/>
        </w:rPr>
      </w:pPr>
      <w:r>
        <w:rPr>
          <w:b/>
        </w:rPr>
        <w:t xml:space="preserve">Registered Nurse: </w:t>
      </w:r>
      <w:r>
        <w:t xml:space="preserve">This includes various categories of licensed nurses: 1) Nurses in Advanced Practice: a) Advanced Practice Nurse, b) Clinical Nurse </w:t>
      </w:r>
      <w:r>
        <w:t xml:space="preserve">Specialist, c) Nurse Practitioner; 2) Registered Nurse. Administer medications under their own or delegated authority. In addition to public and private clinical settings, nurses may practice in a broad range of community locations. </w:t>
      </w:r>
    </w:p>
    <w:p w:rsidR="0056192C" w:rsidRDefault="00297432">
      <w:pPr>
        <w:spacing w:before="120" w:after="120"/>
        <w:ind w:left="630"/>
      </w:pPr>
      <w:hyperlink r:id="rId18">
        <w:r>
          <w:rPr>
            <w:b/>
            <w:color w:val="1155CC"/>
            <w:highlight w:val="white"/>
            <w:u w:val="single"/>
          </w:rPr>
          <w:t>Board of Nursing: Practice Act and Laws</w:t>
        </w:r>
      </w:hyperlink>
      <w:r>
        <w:rPr>
          <w:highlight w:val="white"/>
        </w:rPr>
        <w:t>: The statute defines delegated medical function to include the RN implementation of a medical plan, "a written plan, verbal order, standing order, or protocol - whether patient-spec</w:t>
      </w:r>
      <w:r>
        <w:rPr>
          <w:highlight w:val="white"/>
        </w:rPr>
        <w:t>ific or not, that authorizes specific or discretionary medical action, which may include but is not limited to the selection of medication." The amount of physician oversight would be determined by the physician and nurse involved in this process.</w:t>
      </w:r>
    </w:p>
    <w:p w:rsidR="0056192C" w:rsidRDefault="00297432">
      <w:pPr>
        <w:numPr>
          <w:ilvl w:val="0"/>
          <w:numId w:val="4"/>
        </w:numPr>
        <w:spacing w:before="120" w:after="120"/>
        <w:ind w:left="360"/>
        <w:rPr>
          <w:rFonts w:ascii="Arial" w:eastAsia="Arial" w:hAnsi="Arial" w:cs="Arial"/>
        </w:rPr>
      </w:pPr>
      <w:r>
        <w:rPr>
          <w:b/>
        </w:rPr>
        <w:t xml:space="preserve">Medical </w:t>
      </w:r>
      <w:r>
        <w:rPr>
          <w:b/>
        </w:rPr>
        <w:t>Assistant:</w:t>
      </w:r>
      <w:r>
        <w:rPr>
          <w:highlight w:val="white"/>
        </w:rPr>
        <w:t xml:space="preserve"> work alongside physicians, mainly in outpatient or ambulatory care facilities, such as medical offices and clinics. Colorado has</w:t>
      </w:r>
      <w:r>
        <w:rPr>
          <w:b/>
          <w:highlight w:val="white"/>
        </w:rPr>
        <w:t xml:space="preserve"> not </w:t>
      </w:r>
      <w:r>
        <w:rPr>
          <w:highlight w:val="white"/>
        </w:rPr>
        <w:t>set forth a scope of practice for medical assistants. Colorado law states that unlicensed personnel cannot perfo</w:t>
      </w:r>
      <w:r>
        <w:rPr>
          <w:highlight w:val="white"/>
        </w:rPr>
        <w:t>rm any duties that require licensing; Colorado medical assistants carry out basic non-invasive routine technical/clinical services and administrative tasks under the delegation and supervision of a licensed medical doctor. An unlicensed person may not diag</w:t>
      </w:r>
      <w:r>
        <w:rPr>
          <w:highlight w:val="white"/>
        </w:rPr>
        <w:t xml:space="preserve">nose, treat or perform any invasive task or require assessment. Per Colorado state statute, "Delegated services cannot be re-delegated to another party by the </w:t>
      </w:r>
      <w:proofErr w:type="spellStart"/>
      <w:r>
        <w:rPr>
          <w:highlight w:val="white"/>
        </w:rPr>
        <w:t>delegatee</w:t>
      </w:r>
      <w:proofErr w:type="spellEnd"/>
      <w:r>
        <w:rPr>
          <w:highlight w:val="white"/>
        </w:rPr>
        <w:t xml:space="preserve">." </w:t>
      </w:r>
    </w:p>
    <w:p w:rsidR="0056192C" w:rsidRDefault="00297432">
      <w:pPr>
        <w:spacing w:before="120" w:after="60"/>
        <w:rPr>
          <w:b/>
          <w:smallCaps/>
        </w:rPr>
      </w:pPr>
      <w:r>
        <w:rPr>
          <w:b/>
          <w:smallCaps/>
        </w:rPr>
        <w:t>Condition-specific criteria and prescribed actions:</w:t>
      </w:r>
    </w:p>
    <w:p w:rsidR="0056192C" w:rsidRDefault="00297432">
      <w:pPr>
        <w:spacing w:after="60"/>
        <w:rPr>
          <w:i/>
          <w:color w:val="0000FF"/>
          <w:sz w:val="20"/>
          <w:szCs w:val="20"/>
        </w:rPr>
      </w:pPr>
      <w:r>
        <w:rPr>
          <w:b/>
          <w:i/>
          <w:color w:val="0000FF"/>
          <w:sz w:val="20"/>
          <w:szCs w:val="20"/>
        </w:rPr>
        <w:t>For persons adopting these proto</w:t>
      </w:r>
      <w:r>
        <w:rPr>
          <w:b/>
          <w:i/>
          <w:color w:val="0000FF"/>
          <w:sz w:val="20"/>
          <w:szCs w:val="20"/>
        </w:rPr>
        <w:t>cols:</w:t>
      </w:r>
      <w:r>
        <w:rPr>
          <w:i/>
          <w:color w:val="0000FF"/>
          <w:sz w:val="20"/>
          <w:szCs w:val="20"/>
        </w:rPr>
        <w:t xml:space="preserve"> The criteria listed below include indications, contraindications, and precautions for implementing the TST protocol. However, the criteria must be reviewed </w:t>
      </w:r>
      <w:r>
        <w:rPr>
          <w:b/>
          <w:i/>
          <w:color w:val="0000FF"/>
          <w:sz w:val="20"/>
          <w:szCs w:val="20"/>
        </w:rPr>
        <w:t xml:space="preserve">and further delineated according to the licensed prescriber’s parameters. Additional criteria </w:t>
      </w:r>
      <w:r>
        <w:rPr>
          <w:b/>
          <w:i/>
          <w:color w:val="0000FF"/>
          <w:sz w:val="20"/>
          <w:szCs w:val="20"/>
        </w:rPr>
        <w:t>and prescribed actions may be necessary</w:t>
      </w:r>
      <w:r>
        <w:rPr>
          <w:i/>
          <w:color w:val="0000FF"/>
          <w:sz w:val="20"/>
          <w:szCs w:val="20"/>
        </w:rPr>
        <w:t>. The prescribed actions are examples and may not suit your agency’s clinical situation and do not include all possible actions. A licensed prescriber must review the criteria and actions and determine the appropriate</w:t>
      </w:r>
      <w:r>
        <w:rPr>
          <w:i/>
          <w:color w:val="0000FF"/>
          <w:sz w:val="20"/>
          <w:szCs w:val="20"/>
        </w:rPr>
        <w:t xml:space="preserve"> action to be prescribed. An annual review of this protocol is suggested.</w:t>
      </w:r>
    </w:p>
    <w:tbl>
      <w:tblPr>
        <w:tblStyle w:val="a4"/>
        <w:tblW w:w="108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1"/>
        <w:gridCol w:w="4862"/>
        <w:gridCol w:w="5435"/>
      </w:tblGrid>
      <w:tr w:rsidR="0056192C">
        <w:trPr>
          <w:trHeight w:val="292"/>
        </w:trPr>
        <w:tc>
          <w:tcPr>
            <w:tcW w:w="561" w:type="dxa"/>
            <w:shd w:val="clear" w:color="auto" w:fill="C0C0C0"/>
          </w:tcPr>
          <w:p w:rsidR="0056192C" w:rsidRDefault="0056192C">
            <w:pPr>
              <w:rPr>
                <w:b/>
              </w:rPr>
            </w:pPr>
          </w:p>
        </w:tc>
        <w:tc>
          <w:tcPr>
            <w:tcW w:w="4862" w:type="dxa"/>
            <w:shd w:val="clear" w:color="auto" w:fill="C0C0C0"/>
            <w:vAlign w:val="center"/>
          </w:tcPr>
          <w:p w:rsidR="0056192C" w:rsidRDefault="00297432">
            <w:pPr>
              <w:rPr>
                <w:b/>
              </w:rPr>
            </w:pPr>
            <w:r>
              <w:rPr>
                <w:b/>
              </w:rPr>
              <w:t>Criteria</w:t>
            </w:r>
          </w:p>
        </w:tc>
        <w:tc>
          <w:tcPr>
            <w:tcW w:w="5435" w:type="dxa"/>
            <w:shd w:val="clear" w:color="auto" w:fill="C0C0C0"/>
            <w:vAlign w:val="center"/>
          </w:tcPr>
          <w:p w:rsidR="0056192C" w:rsidRDefault="00297432">
            <w:pPr>
              <w:rPr>
                <w:b/>
              </w:rPr>
            </w:pPr>
            <w:r>
              <w:rPr>
                <w:b/>
              </w:rPr>
              <w:t>Prescribed Action</w:t>
            </w:r>
          </w:p>
        </w:tc>
      </w:tr>
      <w:tr w:rsidR="0056192C">
        <w:trPr>
          <w:trHeight w:val="240"/>
        </w:trPr>
        <w:tc>
          <w:tcPr>
            <w:tcW w:w="561" w:type="dxa"/>
            <w:vMerge w:val="restart"/>
            <w:shd w:val="clear" w:color="auto" w:fill="C0C0C0"/>
            <w:tcMar>
              <w:top w:w="58" w:type="dxa"/>
              <w:left w:w="58" w:type="dxa"/>
              <w:bottom w:w="58" w:type="dxa"/>
              <w:right w:w="58" w:type="dxa"/>
            </w:tcMar>
            <w:vAlign w:val="center"/>
          </w:tcPr>
          <w:p w:rsidR="0056192C" w:rsidRDefault="00297432">
            <w:pPr>
              <w:ind w:left="113" w:right="113"/>
              <w:jc w:val="center"/>
            </w:pPr>
            <w:r>
              <w:t>I</w:t>
            </w:r>
          </w:p>
          <w:p w:rsidR="0056192C" w:rsidRDefault="00297432">
            <w:pPr>
              <w:ind w:left="113" w:right="113"/>
              <w:jc w:val="center"/>
            </w:pPr>
            <w:proofErr w:type="spellStart"/>
            <w:r>
              <w:t>nd</w:t>
            </w:r>
            <w:proofErr w:type="spellEnd"/>
          </w:p>
          <w:p w:rsidR="0056192C" w:rsidRDefault="00297432">
            <w:pPr>
              <w:ind w:left="113" w:right="113"/>
              <w:jc w:val="center"/>
            </w:pPr>
            <w:proofErr w:type="spellStart"/>
            <w:r>
              <w:t>i</w:t>
            </w:r>
            <w:proofErr w:type="spellEnd"/>
          </w:p>
          <w:p w:rsidR="0056192C" w:rsidRDefault="00297432">
            <w:pPr>
              <w:ind w:left="113" w:right="113"/>
              <w:jc w:val="center"/>
            </w:pPr>
            <w:r>
              <w:t>ca</w:t>
            </w:r>
          </w:p>
          <w:p w:rsidR="0056192C" w:rsidRDefault="00297432">
            <w:pPr>
              <w:ind w:left="113" w:right="113"/>
              <w:jc w:val="center"/>
            </w:pPr>
            <w:r>
              <w:t>t</w:t>
            </w:r>
          </w:p>
          <w:p w:rsidR="0056192C" w:rsidRDefault="00297432">
            <w:pPr>
              <w:ind w:left="113" w:right="113"/>
              <w:jc w:val="center"/>
            </w:pPr>
            <w:proofErr w:type="spellStart"/>
            <w:r>
              <w:t>i</w:t>
            </w:r>
            <w:proofErr w:type="spellEnd"/>
          </w:p>
          <w:p w:rsidR="0056192C" w:rsidRDefault="00297432">
            <w:pPr>
              <w:ind w:left="113" w:right="113"/>
              <w:jc w:val="center"/>
            </w:pPr>
            <w:r>
              <w:lastRenderedPageBreak/>
              <w:t>on</w:t>
            </w:r>
          </w:p>
        </w:tc>
        <w:tc>
          <w:tcPr>
            <w:tcW w:w="4862" w:type="dxa"/>
            <w:tcBorders>
              <w:bottom w:val="single" w:sz="4" w:space="0" w:color="000000"/>
            </w:tcBorders>
            <w:shd w:val="clear" w:color="auto" w:fill="auto"/>
            <w:vAlign w:val="center"/>
          </w:tcPr>
          <w:p w:rsidR="0056192C" w:rsidRDefault="00297432">
            <w:r>
              <w:lastRenderedPageBreak/>
              <w:t>Contact to an infectious case of TB</w:t>
            </w:r>
          </w:p>
        </w:tc>
        <w:tc>
          <w:tcPr>
            <w:tcW w:w="5435" w:type="dxa"/>
            <w:tcBorders>
              <w:bottom w:val="single" w:sz="4" w:space="0" w:color="000000"/>
            </w:tcBorders>
            <w:shd w:val="clear" w:color="auto" w:fill="auto"/>
            <w:vAlign w:val="center"/>
          </w:tcPr>
          <w:p w:rsidR="0056192C" w:rsidRDefault="00297432">
            <w:r>
              <w:t>Administer the baseline TST or draw for an IGRA. Repeat using the same test 8-10 weeks post the last exposure to the person, while that person with TB disease was deemed infectious.</w:t>
            </w:r>
          </w:p>
        </w:tc>
      </w:tr>
      <w:tr w:rsidR="0056192C">
        <w:trPr>
          <w:trHeight w:val="378"/>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tcBorders>
            <w:shd w:val="clear" w:color="auto" w:fill="auto"/>
            <w:vAlign w:val="center"/>
          </w:tcPr>
          <w:p w:rsidR="0056192C" w:rsidRDefault="00297432">
            <w:r>
              <w:t xml:space="preserve">Targeted testing of persons at high risk for TB infection (e.g., foreign-born or travel to countries with medium or high incidence of TB; persons with HIV infection; history of drug or alcohol </w:t>
            </w:r>
            <w:r>
              <w:lastRenderedPageBreak/>
              <w:t>abuse; those started a TNF-inhibitor; and those who have experi</w:t>
            </w:r>
            <w:r>
              <w:t>enced homelessness)</w:t>
            </w:r>
          </w:p>
        </w:tc>
        <w:tc>
          <w:tcPr>
            <w:tcW w:w="5435" w:type="dxa"/>
            <w:tcBorders>
              <w:top w:val="single" w:sz="4" w:space="0" w:color="000000"/>
            </w:tcBorders>
            <w:shd w:val="clear" w:color="auto" w:fill="auto"/>
            <w:vAlign w:val="center"/>
          </w:tcPr>
          <w:p w:rsidR="0056192C" w:rsidRDefault="00297432">
            <w:r>
              <w:lastRenderedPageBreak/>
              <w:t>Administer TST or draw for an IGRA</w:t>
            </w:r>
          </w:p>
        </w:tc>
      </w:tr>
      <w:tr w:rsidR="0056192C">
        <w:trPr>
          <w:trHeight w:val="29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bottom w:val="single" w:sz="4" w:space="0" w:color="000000"/>
            </w:tcBorders>
            <w:shd w:val="clear" w:color="auto" w:fill="auto"/>
            <w:vAlign w:val="center"/>
          </w:tcPr>
          <w:p w:rsidR="0056192C" w:rsidRDefault="00297432">
            <w:r>
              <w:t>Admission to a nursing home or boarding care home</w:t>
            </w:r>
          </w:p>
        </w:tc>
        <w:tc>
          <w:tcPr>
            <w:tcW w:w="5435" w:type="dxa"/>
            <w:tcBorders>
              <w:bottom w:val="single" w:sz="4" w:space="0" w:color="000000"/>
            </w:tcBorders>
            <w:shd w:val="clear" w:color="auto" w:fill="auto"/>
            <w:vAlign w:val="center"/>
          </w:tcPr>
          <w:p w:rsidR="0056192C" w:rsidRDefault="00297432">
            <w:r>
              <w:t>Administer two-step TST or draw for an IGRA</w:t>
            </w:r>
          </w:p>
        </w:tc>
      </w:tr>
      <w:tr w:rsidR="0056192C">
        <w:trPr>
          <w:trHeight w:val="25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r>
              <w:t>Admission to a correctional facility (i.e., jail, prison)</w:t>
            </w:r>
          </w:p>
        </w:tc>
        <w:tc>
          <w:tcPr>
            <w:tcW w:w="5435" w:type="dxa"/>
            <w:tcBorders>
              <w:top w:val="single" w:sz="4" w:space="0" w:color="000000"/>
              <w:bottom w:val="single" w:sz="4" w:space="0" w:color="000000"/>
            </w:tcBorders>
            <w:shd w:val="clear" w:color="auto" w:fill="auto"/>
            <w:vAlign w:val="center"/>
          </w:tcPr>
          <w:p w:rsidR="0056192C" w:rsidRDefault="00297432">
            <w:r>
              <w:t xml:space="preserve">Administer 2-step TST or one IGRA. </w:t>
            </w:r>
          </w:p>
        </w:tc>
      </w:tr>
      <w:tr w:rsidR="0056192C">
        <w:trPr>
          <w:trHeight w:val="25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bottom w:val="single" w:sz="4" w:space="0" w:color="000000"/>
            </w:tcBorders>
            <w:shd w:val="clear" w:color="auto" w:fill="auto"/>
            <w:vAlign w:val="center"/>
          </w:tcPr>
          <w:p w:rsidR="0056192C" w:rsidRDefault="00297432">
            <w:r>
              <w:t>Pre-employment screening for healthcare workers and correctional facility staff</w:t>
            </w:r>
          </w:p>
        </w:tc>
        <w:tc>
          <w:tcPr>
            <w:tcW w:w="5435" w:type="dxa"/>
            <w:tcBorders>
              <w:bottom w:val="single" w:sz="4" w:space="0" w:color="000000"/>
            </w:tcBorders>
            <w:shd w:val="clear" w:color="auto" w:fill="auto"/>
            <w:vAlign w:val="center"/>
          </w:tcPr>
          <w:p w:rsidR="0056192C" w:rsidRDefault="00297432">
            <w:r>
              <w:t>Administer two-step TST or one IGRA</w:t>
            </w:r>
          </w:p>
        </w:tc>
      </w:tr>
      <w:tr w:rsidR="0056192C">
        <w:trPr>
          <w:trHeight w:val="29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pPr>
              <w:keepLines/>
            </w:pPr>
            <w:r>
              <w:t>Pregnant/lactating women at high risk for TB infection</w:t>
            </w:r>
          </w:p>
          <w:p w:rsidR="0056192C" w:rsidRDefault="0056192C">
            <w:pPr>
              <w:keepLines/>
            </w:pPr>
          </w:p>
        </w:tc>
        <w:tc>
          <w:tcPr>
            <w:tcW w:w="5435" w:type="dxa"/>
            <w:tcBorders>
              <w:top w:val="single" w:sz="4" w:space="0" w:color="000000"/>
              <w:bottom w:val="single" w:sz="4" w:space="0" w:color="000000"/>
            </w:tcBorders>
            <w:shd w:val="clear" w:color="auto" w:fill="auto"/>
            <w:vAlign w:val="center"/>
          </w:tcPr>
          <w:p w:rsidR="0056192C" w:rsidRDefault="00297432">
            <w:pPr>
              <w:keepLines/>
            </w:pPr>
            <w:r>
              <w:t>Administer TST. Pregnancy and lactation are not contraindications for TSTs. If a woman declines TST, arrange for her to have an IGRA.</w:t>
            </w:r>
          </w:p>
        </w:tc>
      </w:tr>
      <w:tr w:rsidR="0056192C">
        <w:trPr>
          <w:trHeight w:val="18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tcBorders>
            <w:shd w:val="clear" w:color="auto" w:fill="auto"/>
            <w:vAlign w:val="center"/>
          </w:tcPr>
          <w:p w:rsidR="0056192C" w:rsidRDefault="00297432">
            <w:r>
              <w:t>BCG-vaccinated persons</w:t>
            </w:r>
          </w:p>
        </w:tc>
        <w:tc>
          <w:tcPr>
            <w:tcW w:w="5435" w:type="dxa"/>
            <w:tcBorders>
              <w:top w:val="single" w:sz="4" w:space="0" w:color="000000"/>
            </w:tcBorders>
            <w:shd w:val="clear" w:color="auto" w:fill="auto"/>
            <w:vAlign w:val="center"/>
          </w:tcPr>
          <w:p w:rsidR="0056192C" w:rsidRDefault="00297432">
            <w:r>
              <w:t>IGRA is the recommended test. If not available, administer TST. Prior BCG vaccination is not a contraindication for TST; however, a small number of persons (estimated at &lt; 10%) have false-positive TSTs from the BCG, which is why the IGRA is recommended.</w:t>
            </w:r>
          </w:p>
        </w:tc>
      </w:tr>
      <w:tr w:rsidR="0056192C">
        <w:trPr>
          <w:trHeight w:val="810"/>
        </w:trPr>
        <w:tc>
          <w:tcPr>
            <w:tcW w:w="561" w:type="dxa"/>
            <w:shd w:val="clear" w:color="auto" w:fill="C0C0C0"/>
            <w:tcMar>
              <w:top w:w="58" w:type="dxa"/>
              <w:left w:w="58" w:type="dxa"/>
              <w:bottom w:w="58" w:type="dxa"/>
              <w:right w:w="58" w:type="dxa"/>
            </w:tcMar>
            <w:vAlign w:val="center"/>
          </w:tcPr>
          <w:p w:rsidR="0056192C" w:rsidRDefault="0056192C">
            <w:pPr>
              <w:ind w:left="113" w:right="113"/>
              <w:jc w:val="center"/>
            </w:pPr>
          </w:p>
        </w:tc>
        <w:tc>
          <w:tcPr>
            <w:tcW w:w="4862" w:type="dxa"/>
            <w:tcBorders>
              <w:bottom w:val="single" w:sz="4" w:space="0" w:color="000000"/>
            </w:tcBorders>
            <w:shd w:val="clear" w:color="auto" w:fill="C0C0C0"/>
            <w:vAlign w:val="center"/>
          </w:tcPr>
          <w:p w:rsidR="0056192C" w:rsidRDefault="0056192C"/>
        </w:tc>
        <w:tc>
          <w:tcPr>
            <w:tcW w:w="5435" w:type="dxa"/>
            <w:tcBorders>
              <w:bottom w:val="single" w:sz="4" w:space="0" w:color="000000"/>
            </w:tcBorders>
            <w:shd w:val="clear" w:color="auto" w:fill="C0C0C0"/>
            <w:vAlign w:val="center"/>
          </w:tcPr>
          <w:p w:rsidR="0056192C" w:rsidRDefault="0056192C"/>
        </w:tc>
      </w:tr>
      <w:tr w:rsidR="0056192C">
        <w:trPr>
          <w:trHeight w:val="810"/>
        </w:trPr>
        <w:tc>
          <w:tcPr>
            <w:tcW w:w="561" w:type="dxa"/>
            <w:vMerge w:val="restart"/>
            <w:shd w:val="clear" w:color="auto" w:fill="C0C0C0"/>
            <w:tcMar>
              <w:top w:w="58" w:type="dxa"/>
              <w:left w:w="58" w:type="dxa"/>
              <w:bottom w:w="58" w:type="dxa"/>
              <w:right w:w="58" w:type="dxa"/>
            </w:tcMar>
            <w:vAlign w:val="center"/>
          </w:tcPr>
          <w:p w:rsidR="0056192C" w:rsidRDefault="00297432">
            <w:pPr>
              <w:ind w:left="113" w:right="113"/>
              <w:jc w:val="center"/>
            </w:pPr>
            <w:r>
              <w:t>Con</w:t>
            </w:r>
          </w:p>
          <w:p w:rsidR="0056192C" w:rsidRDefault="00297432">
            <w:pPr>
              <w:ind w:left="113" w:right="113"/>
              <w:jc w:val="center"/>
            </w:pPr>
            <w:r>
              <w:t>t</w:t>
            </w:r>
          </w:p>
          <w:p w:rsidR="0056192C" w:rsidRDefault="00297432">
            <w:pPr>
              <w:ind w:left="113" w:right="113"/>
              <w:jc w:val="center"/>
            </w:pPr>
            <w:r>
              <w:t>r</w:t>
            </w:r>
          </w:p>
          <w:p w:rsidR="0056192C" w:rsidRDefault="00297432">
            <w:pPr>
              <w:ind w:left="113" w:right="113"/>
              <w:jc w:val="center"/>
            </w:pPr>
            <w:r>
              <w:t>a</w:t>
            </w:r>
          </w:p>
          <w:p w:rsidR="0056192C" w:rsidRDefault="00297432">
            <w:pPr>
              <w:ind w:left="113" w:right="113"/>
              <w:jc w:val="center"/>
            </w:pPr>
            <w:proofErr w:type="spellStart"/>
            <w:r>
              <w:t>i</w:t>
            </w:r>
            <w:proofErr w:type="spellEnd"/>
          </w:p>
          <w:p w:rsidR="0056192C" w:rsidRDefault="00297432">
            <w:pPr>
              <w:ind w:left="113" w:right="113"/>
              <w:jc w:val="center"/>
            </w:pPr>
            <w:proofErr w:type="spellStart"/>
            <w:r>
              <w:t>nd</w:t>
            </w:r>
            <w:proofErr w:type="spellEnd"/>
          </w:p>
          <w:p w:rsidR="0056192C" w:rsidRDefault="00297432">
            <w:pPr>
              <w:ind w:left="113" w:right="113"/>
              <w:jc w:val="center"/>
            </w:pPr>
            <w:proofErr w:type="spellStart"/>
            <w:r>
              <w:t>i</w:t>
            </w:r>
            <w:proofErr w:type="spellEnd"/>
          </w:p>
          <w:p w:rsidR="0056192C" w:rsidRDefault="00297432">
            <w:pPr>
              <w:ind w:left="113" w:right="113"/>
              <w:jc w:val="center"/>
            </w:pPr>
            <w:r>
              <w:t>ca</w:t>
            </w:r>
          </w:p>
          <w:p w:rsidR="0056192C" w:rsidRDefault="00297432">
            <w:pPr>
              <w:ind w:left="113" w:right="113"/>
              <w:jc w:val="center"/>
            </w:pPr>
            <w:r>
              <w:t>t</w:t>
            </w:r>
          </w:p>
          <w:p w:rsidR="0056192C" w:rsidRDefault="00297432">
            <w:pPr>
              <w:ind w:left="113" w:right="113"/>
              <w:jc w:val="center"/>
            </w:pPr>
            <w:proofErr w:type="spellStart"/>
            <w:r>
              <w:t>i</w:t>
            </w:r>
            <w:proofErr w:type="spellEnd"/>
          </w:p>
          <w:p w:rsidR="0056192C" w:rsidRDefault="00297432">
            <w:pPr>
              <w:ind w:left="113" w:right="113"/>
              <w:jc w:val="center"/>
            </w:pPr>
            <w:r>
              <w:t>on</w:t>
            </w:r>
          </w:p>
        </w:tc>
        <w:tc>
          <w:tcPr>
            <w:tcW w:w="4862" w:type="dxa"/>
            <w:tcBorders>
              <w:bottom w:val="single" w:sz="4" w:space="0" w:color="000000"/>
            </w:tcBorders>
            <w:shd w:val="clear" w:color="auto" w:fill="auto"/>
            <w:vAlign w:val="center"/>
          </w:tcPr>
          <w:p w:rsidR="0056192C" w:rsidRDefault="00297432">
            <w:r>
              <w:t xml:space="preserve">Previous severe adverse reaction to tuberculin or any of its components (e.g., necrosis, blistering, anaphylactic shock. </w:t>
            </w:r>
            <w:proofErr w:type="spellStart"/>
            <w:r>
              <w:t>pr</w:t>
            </w:r>
            <w:proofErr w:type="spellEnd"/>
            <w:r>
              <w:t xml:space="preserve"> ulcerations). </w:t>
            </w:r>
          </w:p>
        </w:tc>
        <w:tc>
          <w:tcPr>
            <w:tcW w:w="5435" w:type="dxa"/>
            <w:tcBorders>
              <w:bottom w:val="single" w:sz="4" w:space="0" w:color="000000"/>
            </w:tcBorders>
            <w:shd w:val="clear" w:color="auto" w:fill="auto"/>
            <w:vAlign w:val="center"/>
          </w:tcPr>
          <w:p w:rsidR="0056192C" w:rsidRDefault="00297432">
            <w:r>
              <w:t xml:space="preserve">Do </w:t>
            </w:r>
            <w:r>
              <w:rPr>
                <w:b/>
              </w:rPr>
              <w:t>not</w:t>
            </w:r>
            <w:r>
              <w:t xml:space="preserve"> administer TST. Arrange for the patient to have an IGRA </w:t>
            </w:r>
          </w:p>
        </w:tc>
      </w:tr>
      <w:tr w:rsidR="0056192C">
        <w:trPr>
          <w:trHeight w:val="187"/>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r>
              <w:rPr>
                <w:b/>
              </w:rPr>
              <w:t xml:space="preserve">Documented </w:t>
            </w:r>
            <w:r>
              <w:t>previous positive TST or IGRA</w:t>
            </w:r>
          </w:p>
        </w:tc>
        <w:tc>
          <w:tcPr>
            <w:tcW w:w="5435" w:type="dxa"/>
            <w:tcBorders>
              <w:top w:val="single" w:sz="4" w:space="0" w:color="000000"/>
              <w:bottom w:val="single" w:sz="4" w:space="0" w:color="000000"/>
            </w:tcBorders>
            <w:shd w:val="clear" w:color="auto" w:fill="auto"/>
            <w:vAlign w:val="center"/>
          </w:tcPr>
          <w:p w:rsidR="0056192C" w:rsidRDefault="00297432">
            <w:r>
              <w:t xml:space="preserve">Do </w:t>
            </w:r>
            <w:r>
              <w:rPr>
                <w:b/>
              </w:rPr>
              <w:t xml:space="preserve">not </w:t>
            </w:r>
            <w:r>
              <w:t>administer. Repeat testing yields no meaningful information. Repeating the IGRA is recommended in some situations (i.e., if the person has absolutely no risk factors for TB infection but has one positive IGRA). This may</w:t>
            </w:r>
            <w:r>
              <w:t xml:space="preserve"> require consultation with the State TB Nurse Consultant. </w:t>
            </w:r>
          </w:p>
        </w:tc>
      </w:tr>
      <w:tr w:rsidR="0056192C">
        <w:trPr>
          <w:trHeight w:val="1890"/>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r>
              <w:rPr>
                <w:b/>
              </w:rPr>
              <w:t xml:space="preserve">Documented </w:t>
            </w:r>
            <w:r>
              <w:t>history of previous active TB disease or latent TB infection</w:t>
            </w:r>
          </w:p>
        </w:tc>
        <w:tc>
          <w:tcPr>
            <w:tcW w:w="5435" w:type="dxa"/>
            <w:tcBorders>
              <w:top w:val="single" w:sz="4" w:space="0" w:color="000000"/>
              <w:bottom w:val="single" w:sz="4" w:space="0" w:color="000000"/>
            </w:tcBorders>
            <w:shd w:val="clear" w:color="auto" w:fill="auto"/>
            <w:vAlign w:val="center"/>
          </w:tcPr>
          <w:p w:rsidR="0056192C" w:rsidRDefault="00297432">
            <w:r>
              <w:t xml:space="preserve">Do </w:t>
            </w:r>
            <w:r>
              <w:rPr>
                <w:b/>
              </w:rPr>
              <w:t>not</w:t>
            </w:r>
            <w:r>
              <w:t xml:space="preserve"> administer TST. Repeat testing yields no meaningful information.</w:t>
            </w:r>
          </w:p>
        </w:tc>
      </w:tr>
      <w:tr w:rsidR="0056192C">
        <w:trPr>
          <w:trHeight w:val="319"/>
        </w:trPr>
        <w:tc>
          <w:tcPr>
            <w:tcW w:w="561" w:type="dxa"/>
            <w:shd w:val="clear" w:color="auto" w:fill="C0C0C0"/>
            <w:tcMar>
              <w:top w:w="58" w:type="dxa"/>
              <w:left w:w="58" w:type="dxa"/>
              <w:bottom w:w="58" w:type="dxa"/>
              <w:right w:w="58" w:type="dxa"/>
            </w:tcMar>
            <w:vAlign w:val="center"/>
          </w:tcPr>
          <w:p w:rsidR="0056192C" w:rsidRDefault="0056192C">
            <w:pPr>
              <w:ind w:left="113" w:right="113"/>
              <w:jc w:val="center"/>
            </w:pPr>
          </w:p>
        </w:tc>
        <w:tc>
          <w:tcPr>
            <w:tcW w:w="4862" w:type="dxa"/>
            <w:shd w:val="clear" w:color="auto" w:fill="C0C0C0"/>
            <w:vAlign w:val="center"/>
          </w:tcPr>
          <w:p w:rsidR="0056192C" w:rsidRDefault="0056192C"/>
        </w:tc>
        <w:tc>
          <w:tcPr>
            <w:tcW w:w="5435" w:type="dxa"/>
            <w:shd w:val="clear" w:color="auto" w:fill="C0C0C0"/>
            <w:vAlign w:val="center"/>
          </w:tcPr>
          <w:p w:rsidR="0056192C" w:rsidRDefault="0056192C"/>
        </w:tc>
      </w:tr>
      <w:tr w:rsidR="0056192C">
        <w:trPr>
          <w:trHeight w:val="319"/>
        </w:trPr>
        <w:tc>
          <w:tcPr>
            <w:tcW w:w="561" w:type="dxa"/>
            <w:vMerge w:val="restart"/>
            <w:shd w:val="clear" w:color="auto" w:fill="C0C0C0"/>
            <w:tcMar>
              <w:top w:w="58" w:type="dxa"/>
              <w:left w:w="58" w:type="dxa"/>
              <w:bottom w:w="58" w:type="dxa"/>
              <w:right w:w="58" w:type="dxa"/>
            </w:tcMar>
            <w:vAlign w:val="center"/>
          </w:tcPr>
          <w:p w:rsidR="0056192C" w:rsidRDefault="00297432">
            <w:pPr>
              <w:ind w:left="113" w:right="113"/>
              <w:jc w:val="center"/>
            </w:pPr>
            <w:r>
              <w:t xml:space="preserve">    </w:t>
            </w:r>
            <w:proofErr w:type="spellStart"/>
            <w:r>
              <w:t>Pr</w:t>
            </w:r>
            <w:proofErr w:type="spellEnd"/>
            <w:r>
              <w:t xml:space="preserve"> </w:t>
            </w:r>
            <w:proofErr w:type="spellStart"/>
            <w:r>
              <w:t>ecau</w:t>
            </w:r>
            <w:proofErr w:type="spellEnd"/>
          </w:p>
          <w:p w:rsidR="0056192C" w:rsidRDefault="00297432">
            <w:pPr>
              <w:ind w:left="113" w:right="113"/>
              <w:jc w:val="center"/>
            </w:pPr>
            <w:r>
              <w:lastRenderedPageBreak/>
              <w:t>t</w:t>
            </w:r>
          </w:p>
          <w:p w:rsidR="0056192C" w:rsidRDefault="00297432">
            <w:pPr>
              <w:ind w:left="113" w:right="113"/>
              <w:jc w:val="center"/>
            </w:pPr>
            <w:proofErr w:type="spellStart"/>
            <w:r>
              <w:t>i</w:t>
            </w:r>
            <w:proofErr w:type="spellEnd"/>
          </w:p>
          <w:p w:rsidR="0056192C" w:rsidRDefault="00297432">
            <w:pPr>
              <w:ind w:left="113" w:right="113"/>
              <w:jc w:val="center"/>
            </w:pPr>
            <w:r>
              <w:t>on</w:t>
            </w:r>
          </w:p>
          <w:p w:rsidR="0056192C" w:rsidRDefault="00297432">
            <w:pPr>
              <w:ind w:left="113" w:right="113"/>
              <w:jc w:val="center"/>
            </w:pPr>
            <w:r>
              <w:t>s</w:t>
            </w:r>
          </w:p>
          <w:p w:rsidR="0056192C" w:rsidRDefault="0056192C">
            <w:pPr>
              <w:ind w:left="113" w:right="113"/>
              <w:jc w:val="center"/>
            </w:pPr>
          </w:p>
        </w:tc>
        <w:tc>
          <w:tcPr>
            <w:tcW w:w="4862" w:type="dxa"/>
            <w:shd w:val="clear" w:color="auto" w:fill="auto"/>
            <w:vAlign w:val="center"/>
          </w:tcPr>
          <w:p w:rsidR="0056192C" w:rsidRDefault="00297432">
            <w:r>
              <w:lastRenderedPageBreak/>
              <w:t>&lt; 6 months old</w:t>
            </w:r>
          </w:p>
        </w:tc>
        <w:tc>
          <w:tcPr>
            <w:tcW w:w="5435" w:type="dxa"/>
            <w:shd w:val="clear" w:color="auto" w:fill="auto"/>
            <w:vAlign w:val="center"/>
          </w:tcPr>
          <w:p w:rsidR="0056192C" w:rsidRDefault="00297432">
            <w:r>
              <w:t xml:space="preserve">Some infants &lt; 6 months old who are infected with </w:t>
            </w:r>
            <w:r>
              <w:rPr>
                <w:i/>
              </w:rPr>
              <w:t xml:space="preserve">M. tuberculosis </w:t>
            </w:r>
            <w:r>
              <w:t>may</w:t>
            </w:r>
            <w:r>
              <w:rPr>
                <w:i/>
              </w:rPr>
              <w:t xml:space="preserve"> </w:t>
            </w:r>
            <w:r>
              <w:t>not react to a TST. A negative result may be a false negative if performed on someone younger than 6 months of age. A positive reading indicates infection and warrants further workup.</w:t>
            </w:r>
          </w:p>
        </w:tc>
      </w:tr>
      <w:tr w:rsidR="0056192C">
        <w:trPr>
          <w:trHeight w:val="245"/>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bottom w:val="single" w:sz="4" w:space="0" w:color="000000"/>
            </w:tcBorders>
            <w:shd w:val="clear" w:color="auto" w:fill="auto"/>
            <w:vAlign w:val="center"/>
          </w:tcPr>
          <w:p w:rsidR="0056192C" w:rsidRDefault="00297432">
            <w:r>
              <w:t>Immunization with a live, attenuated virus vaccine within the past 6 weeks</w:t>
            </w:r>
          </w:p>
        </w:tc>
        <w:tc>
          <w:tcPr>
            <w:tcW w:w="5435" w:type="dxa"/>
            <w:tcBorders>
              <w:bottom w:val="single" w:sz="4" w:space="0" w:color="000000"/>
            </w:tcBorders>
            <w:shd w:val="clear" w:color="auto" w:fill="auto"/>
            <w:vAlign w:val="center"/>
          </w:tcPr>
          <w:p w:rsidR="0056192C" w:rsidRDefault="00297432">
            <w:r>
              <w:t>Defer TST until 4 - 6 weeks after immunization with the live, attenuated virus vaccine. If able to arrange TST prior to the vaccinations, schedule vaccine administration for the dat</w:t>
            </w:r>
            <w:r>
              <w:t>e of the TST reading.</w:t>
            </w:r>
          </w:p>
        </w:tc>
      </w:tr>
      <w:tr w:rsidR="0056192C">
        <w:trPr>
          <w:trHeight w:val="432"/>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r>
              <w:t>Suspected active TB disease (based on signs, symptoms, and risk factors)</w:t>
            </w:r>
          </w:p>
          <w:p w:rsidR="0056192C" w:rsidRDefault="0056192C"/>
        </w:tc>
        <w:tc>
          <w:tcPr>
            <w:tcW w:w="5435" w:type="dxa"/>
            <w:tcBorders>
              <w:top w:val="single" w:sz="4" w:space="0" w:color="000000"/>
              <w:bottom w:val="single" w:sz="4" w:space="0" w:color="000000"/>
            </w:tcBorders>
            <w:shd w:val="clear" w:color="auto" w:fill="auto"/>
            <w:vAlign w:val="center"/>
          </w:tcPr>
          <w:p w:rsidR="0056192C" w:rsidRDefault="00297432">
            <w:r>
              <w:t xml:space="preserve">Administer TST and refer for immediate medical evaluation. A negative </w:t>
            </w:r>
            <w:proofErr w:type="gramStart"/>
            <w:r>
              <w:t>TST(</w:t>
            </w:r>
            <w:proofErr w:type="gramEnd"/>
            <w:r>
              <w:t xml:space="preserve">or IGRA) result </w:t>
            </w:r>
            <w:r>
              <w:rPr>
                <w:b/>
              </w:rPr>
              <w:t>does not</w:t>
            </w:r>
            <w:r>
              <w:t xml:space="preserve"> </w:t>
            </w:r>
            <w:r>
              <w:rPr>
                <w:b/>
              </w:rPr>
              <w:t>rule out TB</w:t>
            </w:r>
            <w:r>
              <w:t xml:space="preserve"> </w:t>
            </w:r>
            <w:r>
              <w:rPr>
                <w:b/>
              </w:rPr>
              <w:t>disease</w:t>
            </w:r>
            <w:r>
              <w:t>.</w:t>
            </w:r>
          </w:p>
        </w:tc>
      </w:tr>
      <w:tr w:rsidR="0056192C">
        <w:trPr>
          <w:trHeight w:val="383"/>
        </w:trPr>
        <w:tc>
          <w:tcPr>
            <w:tcW w:w="561" w:type="dxa"/>
            <w:vMerge/>
            <w:shd w:val="clear" w:color="auto" w:fill="C0C0C0"/>
            <w:tcMar>
              <w:top w:w="58" w:type="dxa"/>
              <w:left w:w="58" w:type="dxa"/>
              <w:bottom w:w="58" w:type="dxa"/>
              <w:right w:w="58" w:type="dxa"/>
            </w:tcMar>
            <w:vAlign w:val="center"/>
          </w:tcPr>
          <w:p w:rsidR="0056192C" w:rsidRDefault="0056192C">
            <w:pPr>
              <w:widowControl w:val="0"/>
              <w:pBdr>
                <w:top w:val="nil"/>
                <w:left w:val="nil"/>
                <w:bottom w:val="nil"/>
                <w:right w:val="nil"/>
                <w:between w:val="nil"/>
              </w:pBdr>
              <w:spacing w:line="276" w:lineRule="auto"/>
            </w:pPr>
          </w:p>
        </w:tc>
        <w:tc>
          <w:tcPr>
            <w:tcW w:w="4862" w:type="dxa"/>
            <w:tcBorders>
              <w:top w:val="single" w:sz="4" w:space="0" w:color="000000"/>
              <w:bottom w:val="single" w:sz="4" w:space="0" w:color="000000"/>
            </w:tcBorders>
            <w:shd w:val="clear" w:color="auto" w:fill="auto"/>
            <w:vAlign w:val="center"/>
          </w:tcPr>
          <w:p w:rsidR="0056192C" w:rsidRDefault="00297432">
            <w:r>
              <w:t>Low risk for TB infection or active TB</w:t>
            </w:r>
          </w:p>
        </w:tc>
        <w:tc>
          <w:tcPr>
            <w:tcW w:w="5435" w:type="dxa"/>
            <w:tcBorders>
              <w:top w:val="single" w:sz="4" w:space="0" w:color="000000"/>
              <w:bottom w:val="single" w:sz="4" w:space="0" w:color="000000"/>
            </w:tcBorders>
            <w:shd w:val="clear" w:color="auto" w:fill="auto"/>
            <w:vAlign w:val="center"/>
          </w:tcPr>
          <w:p w:rsidR="0056192C" w:rsidRDefault="00297432">
            <w:r>
              <w:t>Testing of low-risk persons is discouraged.</w:t>
            </w:r>
          </w:p>
        </w:tc>
      </w:tr>
    </w:tbl>
    <w:p w:rsidR="0056192C" w:rsidRDefault="0056192C">
      <w:pPr>
        <w:rPr>
          <w:b/>
        </w:rPr>
      </w:pPr>
    </w:p>
    <w:p w:rsidR="0056192C" w:rsidRDefault="00297432">
      <w:pPr>
        <w:rPr>
          <w:b/>
        </w:rPr>
      </w:pPr>
      <w:r>
        <w:rPr>
          <w:b/>
        </w:rPr>
        <w:t xml:space="preserve">SUPPLIES: </w:t>
      </w:r>
    </w:p>
    <w:p w:rsidR="0056192C" w:rsidRDefault="00297432">
      <w:pPr>
        <w:numPr>
          <w:ilvl w:val="0"/>
          <w:numId w:val="5"/>
        </w:numPr>
      </w:pPr>
      <w:r>
        <w:t>A vial of refrigerated  PPD</w:t>
      </w:r>
    </w:p>
    <w:p w:rsidR="0056192C" w:rsidRDefault="00297432">
      <w:pPr>
        <w:numPr>
          <w:ilvl w:val="0"/>
          <w:numId w:val="5"/>
        </w:numPr>
      </w:pPr>
      <w:r>
        <w:t>A single-dose disposable tuberculin syringe</w:t>
      </w:r>
    </w:p>
    <w:p w:rsidR="0056192C" w:rsidRDefault="00297432">
      <w:pPr>
        <w:numPr>
          <w:ilvl w:val="0"/>
          <w:numId w:val="15"/>
        </w:numPr>
      </w:pPr>
      <w:r>
        <w:t>Gauge-25-29 • Length-1/4 to ½ inch • Amount - 0.1 ml • Angle-15 degrees • DO NOT ASPIRATE</w:t>
      </w:r>
    </w:p>
    <w:p w:rsidR="0056192C" w:rsidRDefault="00297432">
      <w:pPr>
        <w:numPr>
          <w:ilvl w:val="0"/>
          <w:numId w:val="5"/>
        </w:numPr>
      </w:pPr>
      <w:r>
        <w:t>Ruler with millimeter (mm) measurements</w:t>
      </w:r>
    </w:p>
    <w:p w:rsidR="0056192C" w:rsidRDefault="00297432">
      <w:pPr>
        <w:numPr>
          <w:ilvl w:val="0"/>
          <w:numId w:val="5"/>
        </w:numPr>
      </w:pPr>
      <w:r>
        <w:t>2x2 gauze pads or cotton balls</w:t>
      </w:r>
    </w:p>
    <w:p w:rsidR="0056192C" w:rsidRDefault="00297432">
      <w:pPr>
        <w:numPr>
          <w:ilvl w:val="0"/>
          <w:numId w:val="5"/>
        </w:numPr>
      </w:pPr>
      <w:r>
        <w:t>Alcohol swabs</w:t>
      </w:r>
    </w:p>
    <w:p w:rsidR="0056192C" w:rsidRDefault="00297432">
      <w:pPr>
        <w:numPr>
          <w:ilvl w:val="0"/>
          <w:numId w:val="5"/>
        </w:numPr>
      </w:pPr>
      <w:r>
        <w:t>Puncture-resistant sharps disposal container</w:t>
      </w:r>
    </w:p>
    <w:p w:rsidR="0056192C" w:rsidRDefault="00297432">
      <w:pPr>
        <w:numPr>
          <w:ilvl w:val="0"/>
          <w:numId w:val="5"/>
        </w:numPr>
      </w:pPr>
      <w:r>
        <w:t>Record-keeping forms for the patient</w:t>
      </w:r>
      <w:r>
        <w:t xml:space="preserve"> and provider</w:t>
      </w:r>
    </w:p>
    <w:p w:rsidR="0056192C" w:rsidRDefault="00297432">
      <w:pPr>
        <w:numPr>
          <w:ilvl w:val="0"/>
          <w:numId w:val="5"/>
        </w:numPr>
      </w:pPr>
      <w:r>
        <w:t>Black pen.</w:t>
      </w:r>
    </w:p>
    <w:p w:rsidR="0056192C" w:rsidRDefault="0056192C"/>
    <w:p w:rsidR="0056192C" w:rsidRDefault="00297432">
      <w:r>
        <w:rPr>
          <w:b/>
          <w:sz w:val="28"/>
          <w:szCs w:val="28"/>
        </w:rPr>
        <w:t xml:space="preserve">ALERT: </w:t>
      </w:r>
      <w:r>
        <w:rPr>
          <w:b/>
        </w:rPr>
        <w:t xml:space="preserve">Only appropriately trained staff who can perform this task under their scope of practice or license shall perform this medical test. Please see the </w:t>
      </w:r>
      <w:hyperlink r:id="rId19">
        <w:r>
          <w:rPr>
            <w:b/>
            <w:color w:val="1155CC"/>
            <w:u w:val="single"/>
          </w:rPr>
          <w:t>CDC</w:t>
        </w:r>
        <w:r>
          <w:rPr>
            <w:b/>
            <w:color w:val="1155CC"/>
            <w:u w:val="single"/>
          </w:rPr>
          <w:t xml:space="preserve"> website</w:t>
        </w:r>
      </w:hyperlink>
      <w:r>
        <w:rPr>
          <w:b/>
        </w:rPr>
        <w:t xml:space="preserve"> on TST training and materials for a complete guide and video. Administering and Storage &amp; Handling information is detailed in the PPD packaging insert</w:t>
      </w:r>
    </w:p>
    <w:p w:rsidR="0056192C" w:rsidRDefault="00297432">
      <w:pPr>
        <w:spacing w:before="200" w:after="200"/>
        <w:rPr>
          <w:b/>
        </w:rPr>
      </w:pPr>
      <w:r>
        <w:rPr>
          <w:b/>
        </w:rPr>
        <w:t>STORAGE:</w:t>
      </w:r>
    </w:p>
    <w:p w:rsidR="0056192C" w:rsidRDefault="00297432">
      <w:pPr>
        <w:numPr>
          <w:ilvl w:val="0"/>
          <w:numId w:val="14"/>
        </w:numPr>
        <w:rPr>
          <w:rFonts w:ascii="Arial" w:eastAsia="Arial" w:hAnsi="Arial" w:cs="Arial"/>
        </w:rPr>
      </w:pPr>
      <w:r>
        <w:rPr>
          <w:b/>
        </w:rPr>
        <w:t>Do not</w:t>
      </w:r>
      <w:r>
        <w:t xml:space="preserve"> store the vial in the door of the refrigerator. When not in use, keep the vial stored in the Pharmacy</w:t>
      </w:r>
      <w:r>
        <w:rPr>
          <w:highlight w:val="white"/>
        </w:rPr>
        <w:t xml:space="preserve">/Vaccine Refrigerator. </w:t>
      </w:r>
    </w:p>
    <w:p w:rsidR="0056192C" w:rsidRDefault="00297432">
      <w:pPr>
        <w:numPr>
          <w:ilvl w:val="1"/>
          <w:numId w:val="14"/>
        </w:numPr>
        <w:spacing w:before="200" w:after="200"/>
        <w:rPr>
          <w:rFonts w:ascii="Arial" w:eastAsia="Arial" w:hAnsi="Arial" w:cs="Arial"/>
        </w:rPr>
      </w:pPr>
      <w:r>
        <w:rPr>
          <w:highlight w:val="white"/>
        </w:rPr>
        <w:t>CDC does </w:t>
      </w:r>
      <w:r>
        <w:rPr>
          <w:b/>
          <w:highlight w:val="white"/>
        </w:rPr>
        <w:t>not</w:t>
      </w:r>
      <w:r>
        <w:rPr>
          <w:highlight w:val="white"/>
        </w:rPr>
        <w:t> recommend </w:t>
      </w:r>
      <w:r>
        <w:rPr>
          <w:b/>
          <w:highlight w:val="white"/>
        </w:rPr>
        <w:t>storage</w:t>
      </w:r>
      <w:r>
        <w:rPr>
          <w:highlight w:val="white"/>
        </w:rPr>
        <w:t> of </w:t>
      </w:r>
      <w:r>
        <w:rPr>
          <w:b/>
          <w:highlight w:val="white"/>
        </w:rPr>
        <w:t>any vaccine</w:t>
      </w:r>
      <w:r>
        <w:rPr>
          <w:highlight w:val="white"/>
        </w:rPr>
        <w:t> in a </w:t>
      </w:r>
      <w:r>
        <w:rPr>
          <w:b/>
          <w:highlight w:val="white"/>
        </w:rPr>
        <w:t>dormitory</w:t>
      </w:r>
      <w:r>
        <w:rPr>
          <w:highlight w:val="white"/>
        </w:rPr>
        <w:t>-</w:t>
      </w:r>
      <w:r>
        <w:rPr>
          <w:b/>
          <w:highlight w:val="white"/>
        </w:rPr>
        <w:t>style (or bar</w:t>
      </w:r>
      <w:r>
        <w:rPr>
          <w:highlight w:val="white"/>
        </w:rPr>
        <w:t>-</w:t>
      </w:r>
      <w:r>
        <w:rPr>
          <w:b/>
          <w:highlight w:val="white"/>
        </w:rPr>
        <w:t>style</w:t>
      </w:r>
      <w:r>
        <w:rPr>
          <w:highlight w:val="white"/>
        </w:rPr>
        <w:t>) refrigerator. Vaccines and PPD should not be kep</w:t>
      </w:r>
      <w:r>
        <w:rPr>
          <w:highlight w:val="white"/>
        </w:rPr>
        <w:t>t in the door of the refrigerator.</w:t>
      </w:r>
    </w:p>
    <w:p w:rsidR="0056192C" w:rsidRDefault="00297432">
      <w:pPr>
        <w:numPr>
          <w:ilvl w:val="1"/>
          <w:numId w:val="14"/>
        </w:numPr>
        <w:spacing w:before="200" w:after="200"/>
        <w:rPr>
          <w:rFonts w:ascii="Arial" w:eastAsia="Arial" w:hAnsi="Arial" w:cs="Arial"/>
        </w:rPr>
      </w:pPr>
      <w:r>
        <w:t xml:space="preserve">A unit dedicated to the storage of vaccines only. </w:t>
      </w:r>
      <w:r>
        <w:rPr>
          <w:b/>
        </w:rPr>
        <w:t>Food and beverages must not be stored</w:t>
      </w:r>
      <w:r>
        <w:t xml:space="preserve"> in a vaccine storage unit. This practice results in frequent door opening and a greater chance for temperature instability and excess</w:t>
      </w:r>
      <w:r>
        <w:t xml:space="preserve">ive exposure to light. It may also result in spills and contamination inside the refrigerator. </w:t>
      </w:r>
    </w:p>
    <w:p w:rsidR="0056192C" w:rsidRDefault="00297432">
      <w:pPr>
        <w:spacing w:line="360" w:lineRule="auto"/>
        <w:rPr>
          <w:b/>
        </w:rPr>
      </w:pPr>
      <w:r>
        <w:rPr>
          <w:b/>
        </w:rPr>
        <w:t xml:space="preserve">ADMINISTRATION:  </w:t>
      </w:r>
    </w:p>
    <w:p w:rsidR="0056192C" w:rsidRDefault="00297432">
      <w:pPr>
        <w:numPr>
          <w:ilvl w:val="0"/>
          <w:numId w:val="3"/>
        </w:numPr>
        <w:rPr>
          <w:rFonts w:ascii="Arial" w:eastAsia="Arial" w:hAnsi="Arial" w:cs="Arial"/>
          <w:b/>
        </w:rPr>
      </w:pPr>
      <w:r>
        <w:t>Skin tests should</w:t>
      </w:r>
      <w:r>
        <w:rPr>
          <w:b/>
        </w:rPr>
        <w:t xml:space="preserve"> not</w:t>
      </w:r>
      <w:r>
        <w:t xml:space="preserve"> be administered on a day that will cause the 48-72 hour reading date to fall on a weekend or holiday unless a specific plan has been established to permit a reliable reading. </w:t>
      </w:r>
    </w:p>
    <w:p w:rsidR="0056192C" w:rsidRDefault="00297432">
      <w:pPr>
        <w:numPr>
          <w:ilvl w:val="0"/>
          <w:numId w:val="3"/>
        </w:numPr>
        <w:spacing w:before="200"/>
        <w:rPr>
          <w:b/>
        </w:rPr>
      </w:pPr>
      <w:r>
        <w:t xml:space="preserve">If the patient is having their skin test result read, measured, or interpreted </w:t>
      </w:r>
      <w:r>
        <w:t xml:space="preserve">by another healthcare agency, it is advised to have this confirmed prior to administering the PPD solution. It is recommended to fax the form to the facility that will be providing that service and request a copy be faxed back once completed. </w:t>
      </w:r>
    </w:p>
    <w:p w:rsidR="0056192C" w:rsidRDefault="0056192C">
      <w:pPr>
        <w:ind w:left="360"/>
        <w:rPr>
          <w:b/>
        </w:rPr>
      </w:pPr>
    </w:p>
    <w:p w:rsidR="0056192C" w:rsidRDefault="00297432">
      <w:pPr>
        <w:numPr>
          <w:ilvl w:val="0"/>
          <w:numId w:val="3"/>
        </w:numPr>
        <w:rPr>
          <w:rFonts w:ascii="Arial" w:eastAsia="Arial" w:hAnsi="Arial" w:cs="Arial"/>
          <w:b/>
        </w:rPr>
      </w:pPr>
      <w:r>
        <w:t>The usual s</w:t>
      </w:r>
      <w:r>
        <w:t xml:space="preserve">ite for injection is the left lateral forearm (aka, volar aspect of the forearm). Choose a site free of lesions, excess hair, scarring, tendons, and veins. </w:t>
      </w:r>
    </w:p>
    <w:p w:rsidR="0056192C" w:rsidRDefault="00297432">
      <w:pPr>
        <w:numPr>
          <w:ilvl w:val="1"/>
          <w:numId w:val="3"/>
        </w:numPr>
        <w:rPr>
          <w:rFonts w:ascii="Arial" w:eastAsia="Arial" w:hAnsi="Arial" w:cs="Arial"/>
          <w:b/>
        </w:rPr>
      </w:pPr>
      <w:r>
        <w:t>Alternative sites include the opposite lateral forearm or the posterior aspect of either scapula.</w:t>
      </w:r>
    </w:p>
    <w:p w:rsidR="0056192C" w:rsidRDefault="00297432">
      <w:pPr>
        <w:numPr>
          <w:ilvl w:val="0"/>
          <w:numId w:val="14"/>
        </w:numPr>
        <w:spacing w:before="200" w:after="200"/>
      </w:pPr>
      <w:r>
        <w:t>C</w:t>
      </w:r>
      <w:r>
        <w:t xml:space="preserve">lean injection site with an alcohol swab. Allow the area to air dry completely before the injection. </w:t>
      </w:r>
    </w:p>
    <w:p w:rsidR="0056192C" w:rsidRDefault="00297432">
      <w:pPr>
        <w:numPr>
          <w:ilvl w:val="0"/>
          <w:numId w:val="14"/>
        </w:numPr>
        <w:spacing w:before="200" w:after="200"/>
        <w:rPr>
          <w:rFonts w:ascii="Arial" w:eastAsia="Arial" w:hAnsi="Arial" w:cs="Arial"/>
        </w:rPr>
      </w:pPr>
      <w:r>
        <w:t xml:space="preserve">Storage and Handling: </w:t>
      </w:r>
    </w:p>
    <w:p w:rsidR="0056192C" w:rsidRDefault="00297432">
      <w:pPr>
        <w:spacing w:before="200" w:after="200"/>
        <w:ind w:left="720"/>
      </w:pPr>
      <w:r>
        <w:t xml:space="preserve">Read instructions that are available in the box that contains the PPD solution to familiarize yourself with all of the nuances. </w:t>
      </w:r>
    </w:p>
    <w:p w:rsidR="0056192C" w:rsidRDefault="00297432">
      <w:pPr>
        <w:spacing w:before="200" w:after="200"/>
        <w:ind w:left="720"/>
        <w:rPr>
          <w:rFonts w:ascii="Arial" w:eastAsia="Arial" w:hAnsi="Arial" w:cs="Arial"/>
        </w:rPr>
      </w:pPr>
      <w:r>
        <w:t>It</w:t>
      </w:r>
      <w:r>
        <w:t xml:space="preserve"> is advised </w:t>
      </w:r>
      <w:r>
        <w:rPr>
          <w:b/>
        </w:rPr>
        <w:t xml:space="preserve">not </w:t>
      </w:r>
      <w:r>
        <w:t xml:space="preserve">to pre-draw the solution, even when single-use. In mass testing, do </w:t>
      </w:r>
      <w:r>
        <w:rPr>
          <w:b/>
        </w:rPr>
        <w:t>not</w:t>
      </w:r>
      <w:r>
        <w:t xml:space="preserve"> pre-draw the solution into syringes. </w:t>
      </w:r>
    </w:p>
    <w:p w:rsidR="0056192C" w:rsidRDefault="00297432">
      <w:pPr>
        <w:spacing w:before="200" w:after="200"/>
        <w:ind w:left="720"/>
        <w:rPr>
          <w:rFonts w:ascii="Arial" w:eastAsia="Arial" w:hAnsi="Arial" w:cs="Arial"/>
        </w:rPr>
      </w:pPr>
      <w:r>
        <w:t>Remove from refrigerated vial</w:t>
      </w:r>
      <w:r>
        <w:rPr>
          <w:b/>
        </w:rPr>
        <w:t xml:space="preserve"> just prior</w:t>
      </w:r>
      <w:r>
        <w:t xml:space="preserve"> to the test. Keep the vial and solution-filled needle away and protected from light </w:t>
      </w:r>
      <w:r>
        <w:rPr>
          <w:b/>
          <w:u w:val="single"/>
        </w:rPr>
        <w:t>at al</w:t>
      </w:r>
      <w:r>
        <w:rPr>
          <w:b/>
          <w:u w:val="single"/>
        </w:rPr>
        <w:t>l times</w:t>
      </w:r>
      <w:r>
        <w:t xml:space="preserve">. Return the vial to the refrigerator immediately after drawing it into the syringe. Do not store bottles in the door of the refrigerator. </w:t>
      </w:r>
    </w:p>
    <w:p w:rsidR="0056192C" w:rsidRDefault="00297432">
      <w:pPr>
        <w:spacing w:before="200" w:after="200"/>
        <w:ind w:left="720"/>
      </w:pPr>
      <w:r>
        <w:rPr>
          <w:b/>
        </w:rPr>
        <w:t xml:space="preserve">NOTE: </w:t>
      </w:r>
      <w:r>
        <w:t>Check the vial for open and expiration date to ensure the viability of the solution. If opened, the bot</w:t>
      </w:r>
      <w:r>
        <w:t xml:space="preserve">tle shall be marked with the date the bottle was accessed. PPD solution is not viable after one month from initial access. PPD solution that has gone beyond this date </w:t>
      </w:r>
      <w:r>
        <w:rPr>
          <w:u w:val="single"/>
        </w:rPr>
        <w:t>shall be discarded and a new bottle opened and marked</w:t>
      </w:r>
      <w:r>
        <w:t xml:space="preserve">. </w:t>
      </w:r>
    </w:p>
    <w:p w:rsidR="0056192C" w:rsidRDefault="00297432">
      <w:pPr>
        <w:numPr>
          <w:ilvl w:val="0"/>
          <w:numId w:val="14"/>
        </w:numPr>
        <w:spacing w:before="200" w:after="200"/>
      </w:pPr>
      <w:r>
        <w:t xml:space="preserve">At a 15-degree angle, </w:t>
      </w:r>
      <w:proofErr w:type="spellStart"/>
      <w:r>
        <w:t>intradermal</w:t>
      </w:r>
      <w:r>
        <w:t>ly</w:t>
      </w:r>
      <w:proofErr w:type="spellEnd"/>
      <w:r>
        <w:t xml:space="preserve"> inject all of the tuberculin (0.1 ml ) using a tuberculin needle, 3/8 to 5/8 inch 25- 29 gauge needle with a short bevel tip. The bevel should be facing up. This will produce a 6-10 mm wheal.</w:t>
      </w:r>
    </w:p>
    <w:p w:rsidR="0056192C" w:rsidRDefault="00297432">
      <w:pPr>
        <w:numPr>
          <w:ilvl w:val="1"/>
          <w:numId w:val="14"/>
        </w:numPr>
        <w:spacing w:before="200" w:after="200"/>
      </w:pPr>
      <w:r>
        <w:rPr>
          <w:color w:val="202124"/>
          <w:highlight w:val="white"/>
        </w:rPr>
        <w:t>When placed correctly, the injection should produce a pale el</w:t>
      </w:r>
      <w:r>
        <w:rPr>
          <w:color w:val="202124"/>
          <w:highlight w:val="white"/>
        </w:rPr>
        <w:t>evation of the skin (a wheal) 6 to 10 mm in diameter.</w:t>
      </w:r>
      <w:r>
        <w:rPr>
          <w:rFonts w:ascii="Roboto" w:eastAsia="Roboto" w:hAnsi="Roboto" w:cs="Roboto"/>
          <w:b/>
          <w:color w:val="202124"/>
          <w:highlight w:val="white"/>
        </w:rPr>
        <w:t xml:space="preserve"> </w:t>
      </w:r>
      <w:r>
        <w:t xml:space="preserve">If a wheal of &gt;6 mm is </w:t>
      </w:r>
      <w:r>
        <w:rPr>
          <w:i/>
        </w:rPr>
        <w:t>not</w:t>
      </w:r>
      <w:r>
        <w:t xml:space="preserve"> produced, </w:t>
      </w:r>
      <w:r>
        <w:rPr>
          <w:b/>
        </w:rPr>
        <w:t>another test shall be done immediately at a site at least 2 inches from the original site</w:t>
      </w:r>
      <w:r>
        <w:t>.</w:t>
      </w:r>
    </w:p>
    <w:p w:rsidR="0056192C" w:rsidRDefault="00297432">
      <w:pPr>
        <w:spacing w:before="200" w:after="200"/>
        <w:ind w:left="360"/>
      </w:pPr>
      <w:r>
        <w:t xml:space="preserve">                            </w:t>
      </w:r>
      <w:r>
        <w:rPr>
          <w:noProof/>
        </w:rPr>
        <w:drawing>
          <wp:inline distT="0" distB="0" distL="0" distR="0">
            <wp:extent cx="971550" cy="14811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71550" cy="1481138"/>
                    </a:xfrm>
                    <a:prstGeom prst="rect">
                      <a:avLst/>
                    </a:prstGeom>
                    <a:ln/>
                  </pic:spPr>
                </pic:pic>
              </a:graphicData>
            </a:graphic>
          </wp:inline>
        </w:drawing>
      </w:r>
      <w:r>
        <w:t xml:space="preserve">                            </w:t>
      </w:r>
      <w:r>
        <w:rPr>
          <w:noProof/>
        </w:rPr>
        <w:drawing>
          <wp:inline distT="0" distB="0" distL="0" distR="0">
            <wp:extent cx="2046922" cy="1535192"/>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2046922" cy="1535192"/>
                    </a:xfrm>
                    <a:prstGeom prst="rect">
                      <a:avLst/>
                    </a:prstGeom>
                    <a:ln/>
                  </pic:spPr>
                </pic:pic>
              </a:graphicData>
            </a:graphic>
          </wp:inline>
        </w:drawing>
      </w:r>
    </w:p>
    <w:p w:rsidR="0056192C" w:rsidRDefault="00297432">
      <w:pPr>
        <w:numPr>
          <w:ilvl w:val="0"/>
          <w:numId w:val="14"/>
        </w:numPr>
        <w:spacing w:before="200" w:after="200"/>
        <w:rPr>
          <w:rFonts w:ascii="Arial" w:eastAsia="Arial" w:hAnsi="Arial" w:cs="Arial"/>
        </w:rPr>
      </w:pPr>
      <w:r>
        <w:t>Use a cotton ba</w:t>
      </w:r>
      <w:r>
        <w:t xml:space="preserve">ll to dab the area lightly and to wipe off any drops of blood. </w:t>
      </w:r>
      <w:r>
        <w:rPr>
          <w:b/>
        </w:rPr>
        <w:t>Do not</w:t>
      </w:r>
      <w:r>
        <w:t xml:space="preserve"> apply pressure or use a bandage on the test site as this will siphon the PPD solution from the injection site, potentially affecting the validity of the test result. Instruct the patient</w:t>
      </w:r>
      <w:r>
        <w:t xml:space="preserve"> to avoid scratching the test site and to avoid putting a bandage on after leaving the clinic.</w:t>
      </w:r>
    </w:p>
    <w:p w:rsidR="0056192C" w:rsidRDefault="00297432">
      <w:pPr>
        <w:numPr>
          <w:ilvl w:val="0"/>
          <w:numId w:val="14"/>
        </w:numPr>
      </w:pPr>
      <w:r>
        <w:t xml:space="preserve">Document: </w:t>
      </w:r>
    </w:p>
    <w:p w:rsidR="0056192C" w:rsidRDefault="00297432">
      <w:pPr>
        <w:numPr>
          <w:ilvl w:val="1"/>
          <w:numId w:val="14"/>
        </w:numPr>
      </w:pPr>
      <w:r>
        <w:t>Printed name and signature of person administering test</w:t>
      </w:r>
    </w:p>
    <w:p w:rsidR="0056192C" w:rsidRDefault="00297432">
      <w:pPr>
        <w:numPr>
          <w:ilvl w:val="1"/>
          <w:numId w:val="14"/>
        </w:numPr>
        <w:rPr>
          <w:rFonts w:ascii="Arial" w:eastAsia="Arial" w:hAnsi="Arial" w:cs="Arial"/>
        </w:rPr>
      </w:pPr>
      <w:r>
        <w:t xml:space="preserve">Date </w:t>
      </w:r>
      <w:r>
        <w:rPr>
          <w:b/>
        </w:rPr>
        <w:t>and time</w:t>
      </w:r>
      <w:r>
        <w:t xml:space="preserve"> test administered</w:t>
      </w:r>
    </w:p>
    <w:p w:rsidR="0056192C" w:rsidRDefault="00297432">
      <w:pPr>
        <w:numPr>
          <w:ilvl w:val="1"/>
          <w:numId w:val="14"/>
        </w:numPr>
      </w:pPr>
      <w:r>
        <w:t>Location of the test (e.g., right forearm, left forearm, alternate site)</w:t>
      </w:r>
    </w:p>
    <w:p w:rsidR="0056192C" w:rsidRDefault="00297432">
      <w:pPr>
        <w:numPr>
          <w:ilvl w:val="1"/>
          <w:numId w:val="14"/>
        </w:numPr>
      </w:pPr>
      <w:r>
        <w:lastRenderedPageBreak/>
        <w:t xml:space="preserve">Tuberculin manufacturer, lot number, </w:t>
      </w:r>
      <w:r>
        <w:rPr>
          <w:b/>
        </w:rPr>
        <w:t>and</w:t>
      </w:r>
      <w:r>
        <w:t xml:space="preserve"> expiration date</w:t>
      </w:r>
    </w:p>
    <w:p w:rsidR="0056192C" w:rsidRDefault="00297432">
      <w:pPr>
        <w:numPr>
          <w:ilvl w:val="0"/>
          <w:numId w:val="14"/>
        </w:numPr>
        <w:spacing w:before="200" w:after="200"/>
        <w:rPr>
          <w:b/>
        </w:rPr>
      </w:pPr>
      <w:r>
        <w:t xml:space="preserve">Provide a written reminder to the patient to return for reading in 48 to 72 hours. </w:t>
      </w:r>
    </w:p>
    <w:p w:rsidR="0056192C" w:rsidRDefault="00297432">
      <w:pPr>
        <w:rPr>
          <w:b/>
        </w:rPr>
      </w:pPr>
      <w:r>
        <w:rPr>
          <w:b/>
        </w:rPr>
        <w:t>Measuring and Interpreting the Induration:</w:t>
      </w:r>
    </w:p>
    <w:p w:rsidR="0056192C" w:rsidRDefault="0056192C">
      <w:pPr>
        <w:rPr>
          <w:b/>
        </w:rPr>
      </w:pPr>
    </w:p>
    <w:p w:rsidR="0056192C" w:rsidRDefault="00297432">
      <w:pPr>
        <w:numPr>
          <w:ilvl w:val="0"/>
          <w:numId w:val="3"/>
        </w:numPr>
        <w:rPr>
          <w:b/>
        </w:rPr>
      </w:pPr>
      <w:r>
        <w:t xml:space="preserve">The following is </w:t>
      </w:r>
      <w:r>
        <w:rPr>
          <w:b/>
        </w:rPr>
        <w:t>inappropriate</w:t>
      </w:r>
      <w:r>
        <w:t>:</w:t>
      </w:r>
    </w:p>
    <w:p w:rsidR="0056192C" w:rsidRDefault="00297432">
      <w:pPr>
        <w:numPr>
          <w:ilvl w:val="1"/>
          <w:numId w:val="3"/>
        </w:numPr>
      </w:pPr>
      <w:r>
        <w:t>Patient measuring and reporting their own skin test result</w:t>
      </w:r>
    </w:p>
    <w:p w:rsidR="0056192C" w:rsidRDefault="00297432">
      <w:pPr>
        <w:numPr>
          <w:ilvl w:val="1"/>
          <w:numId w:val="3"/>
        </w:numPr>
      </w:pPr>
      <w:r>
        <w:t>To read or interpret anything other than the patient’s skin (i.e., photo, image, or verbalized description)</w:t>
      </w:r>
    </w:p>
    <w:p w:rsidR="0056192C" w:rsidRDefault="00297432">
      <w:pPr>
        <w:numPr>
          <w:ilvl w:val="1"/>
          <w:numId w:val="3"/>
        </w:numPr>
      </w:pPr>
      <w:r>
        <w:t xml:space="preserve">Read a negative </w:t>
      </w:r>
      <w:proofErr w:type="spellStart"/>
      <w:r>
        <w:t>anytime</w:t>
      </w:r>
      <w:proofErr w:type="spellEnd"/>
      <w:r>
        <w:t xml:space="preserve"> after 72 hours from planting th</w:t>
      </w:r>
      <w:r>
        <w:t>e PPD</w:t>
      </w:r>
    </w:p>
    <w:p w:rsidR="0056192C" w:rsidRDefault="00297432">
      <w:pPr>
        <w:numPr>
          <w:ilvl w:val="1"/>
          <w:numId w:val="3"/>
        </w:numPr>
      </w:pPr>
      <w:r>
        <w:t>Read a positive after one week from planting the PPD</w:t>
      </w:r>
    </w:p>
    <w:p w:rsidR="0056192C" w:rsidRDefault="00297432">
      <w:pPr>
        <w:numPr>
          <w:ilvl w:val="1"/>
          <w:numId w:val="3"/>
        </w:numPr>
      </w:pPr>
      <w:r>
        <w:t xml:space="preserve">Have staff member measure without the appropriate training or outside of their scope of practice </w:t>
      </w:r>
    </w:p>
    <w:p w:rsidR="0056192C" w:rsidRDefault="0056192C">
      <w:pPr>
        <w:ind w:left="360"/>
        <w:rPr>
          <w:sz w:val="14"/>
          <w:szCs w:val="14"/>
        </w:rPr>
      </w:pPr>
    </w:p>
    <w:p w:rsidR="0056192C" w:rsidRDefault="00297432">
      <w:pPr>
        <w:numPr>
          <w:ilvl w:val="0"/>
          <w:numId w:val="3"/>
        </w:numPr>
      </w:pPr>
      <w:r>
        <w:t>Confirm that TST was applied within 48 to 72 hours prior to reading by reviewing documentation fro</w:t>
      </w:r>
      <w:r>
        <w:t xml:space="preserve">m placement. </w:t>
      </w:r>
    </w:p>
    <w:p w:rsidR="0056192C" w:rsidRDefault="00297432">
      <w:pPr>
        <w:numPr>
          <w:ilvl w:val="1"/>
          <w:numId w:val="3"/>
        </w:numPr>
        <w:pBdr>
          <w:top w:val="nil"/>
          <w:left w:val="nil"/>
          <w:bottom w:val="nil"/>
          <w:right w:val="nil"/>
          <w:between w:val="nil"/>
        </w:pBdr>
        <w:rPr>
          <w:color w:val="000000"/>
        </w:rPr>
      </w:pPr>
      <w:r>
        <w:rPr>
          <w:color w:val="000000"/>
        </w:rPr>
        <w:t xml:space="preserve">If &lt; 48 hours, </w:t>
      </w:r>
      <w:r>
        <w:t xml:space="preserve">the </w:t>
      </w:r>
      <w:r>
        <w:rPr>
          <w:color w:val="000000"/>
        </w:rPr>
        <w:t>patient must return after 48 hours and before 72 hours.</w:t>
      </w:r>
    </w:p>
    <w:p w:rsidR="0056192C" w:rsidRDefault="00297432">
      <w:pPr>
        <w:numPr>
          <w:ilvl w:val="1"/>
          <w:numId w:val="3"/>
        </w:numPr>
        <w:pBdr>
          <w:top w:val="nil"/>
          <w:left w:val="nil"/>
          <w:bottom w:val="nil"/>
          <w:right w:val="nil"/>
          <w:between w:val="nil"/>
        </w:pBdr>
        <w:rPr>
          <w:color w:val="000000"/>
        </w:rPr>
      </w:pPr>
      <w:r>
        <w:rPr>
          <w:color w:val="000000"/>
        </w:rPr>
        <w:t xml:space="preserve">If </w:t>
      </w:r>
      <w:r>
        <w:t xml:space="preserve">the </w:t>
      </w:r>
      <w:r>
        <w:rPr>
          <w:color w:val="000000"/>
        </w:rPr>
        <w:t>patient returns up to 7 days after the test was administered and the size of induration meets the criteria for a positive result, the result can be accepted. If</w:t>
      </w:r>
      <w:r>
        <w:rPr>
          <w:color w:val="000000"/>
        </w:rPr>
        <w:t xml:space="preserve"> reading the TST after 72 hours and there is no induration or the size of the induration does not meet the criteria for a positive result, the TST must be repeated.</w:t>
      </w:r>
      <w:r>
        <w:rPr>
          <w:color w:val="000000"/>
        </w:rPr>
        <w:br/>
      </w:r>
    </w:p>
    <w:p w:rsidR="0056192C" w:rsidRDefault="00297432">
      <w:pPr>
        <w:widowControl w:val="0"/>
        <w:numPr>
          <w:ilvl w:val="0"/>
          <w:numId w:val="3"/>
        </w:numPr>
        <w:rPr>
          <w:b/>
        </w:rPr>
      </w:pPr>
      <w:r>
        <w:t xml:space="preserve">Use a millimeter ruler to measure the diameter of induration </w:t>
      </w:r>
      <w:r>
        <w:rPr>
          <w:b/>
        </w:rPr>
        <w:t>perpendicular to the long axi</w:t>
      </w:r>
      <w:r>
        <w:rPr>
          <w:b/>
        </w:rPr>
        <w:t>s of the arm</w:t>
      </w:r>
      <w:r>
        <w:t xml:space="preserve">. </w:t>
      </w:r>
    </w:p>
    <w:p w:rsidR="0056192C" w:rsidRDefault="0056192C">
      <w:pPr>
        <w:widowControl w:val="0"/>
        <w:pBdr>
          <w:top w:val="nil"/>
          <w:left w:val="nil"/>
          <w:bottom w:val="nil"/>
          <w:right w:val="nil"/>
          <w:between w:val="nil"/>
        </w:pBdr>
        <w:ind w:left="360"/>
        <w:rPr>
          <w:sz w:val="12"/>
          <w:szCs w:val="12"/>
        </w:rPr>
      </w:pPr>
    </w:p>
    <w:p w:rsidR="0056192C" w:rsidRDefault="00297432">
      <w:pPr>
        <w:widowControl w:val="0"/>
        <w:numPr>
          <w:ilvl w:val="0"/>
          <w:numId w:val="13"/>
        </w:numPr>
        <w:pBdr>
          <w:top w:val="nil"/>
          <w:left w:val="nil"/>
          <w:bottom w:val="nil"/>
          <w:right w:val="nil"/>
          <w:between w:val="nil"/>
        </w:pBdr>
        <w:rPr>
          <w:color w:val="000000"/>
        </w:rPr>
      </w:pPr>
      <w:r>
        <w:rPr>
          <w:color w:val="000000"/>
        </w:rPr>
        <w:t xml:space="preserve">Categorize results using </w:t>
      </w:r>
      <w:r>
        <w:t xml:space="preserve">the </w:t>
      </w:r>
      <w:r>
        <w:rPr>
          <w:color w:val="000000"/>
        </w:rPr>
        <w:t>table below.</w:t>
      </w:r>
      <w:r>
        <w:rPr>
          <w:color w:val="000000"/>
        </w:rPr>
        <w:br/>
      </w:r>
    </w:p>
    <w:p w:rsidR="0056192C" w:rsidRDefault="00297432">
      <w:pPr>
        <w:widowControl w:val="0"/>
        <w:numPr>
          <w:ilvl w:val="0"/>
          <w:numId w:val="13"/>
        </w:numPr>
        <w:pBdr>
          <w:top w:val="nil"/>
          <w:left w:val="nil"/>
          <w:bottom w:val="nil"/>
          <w:right w:val="nil"/>
          <w:between w:val="nil"/>
        </w:pBdr>
        <w:rPr>
          <w:color w:val="000000"/>
        </w:rPr>
      </w:pPr>
      <w:r>
        <w:rPr>
          <w:color w:val="000000"/>
        </w:rPr>
        <w:t>Document:</w:t>
      </w:r>
    </w:p>
    <w:p w:rsidR="0056192C" w:rsidRDefault="00297432">
      <w:pPr>
        <w:numPr>
          <w:ilvl w:val="1"/>
          <w:numId w:val="13"/>
        </w:numPr>
        <w:ind w:hanging="720"/>
      </w:pPr>
      <w:r>
        <w:t>Print name, title, and signature of the person reading test</w:t>
      </w:r>
    </w:p>
    <w:p w:rsidR="0056192C" w:rsidRDefault="00297432">
      <w:pPr>
        <w:numPr>
          <w:ilvl w:val="1"/>
          <w:numId w:val="13"/>
        </w:numPr>
        <w:ind w:hanging="720"/>
      </w:pPr>
      <w:r>
        <w:t>Date and time test read</w:t>
      </w:r>
    </w:p>
    <w:p w:rsidR="0056192C" w:rsidRDefault="00297432">
      <w:pPr>
        <w:numPr>
          <w:ilvl w:val="1"/>
          <w:numId w:val="13"/>
        </w:numPr>
        <w:ind w:hanging="720"/>
      </w:pPr>
      <w:r>
        <w:t>Exact number of mm of induration (if no induration, document "0" mm)</w:t>
      </w:r>
    </w:p>
    <w:p w:rsidR="0056192C" w:rsidRDefault="00297432">
      <w:pPr>
        <w:numPr>
          <w:ilvl w:val="1"/>
          <w:numId w:val="13"/>
        </w:numPr>
        <w:ind w:hanging="720"/>
      </w:pPr>
      <w:r>
        <w:t xml:space="preserve">Interpretation </w:t>
      </w:r>
    </w:p>
    <w:p w:rsidR="0056192C" w:rsidRDefault="00297432">
      <w:pPr>
        <w:keepLines/>
        <w:numPr>
          <w:ilvl w:val="2"/>
          <w:numId w:val="13"/>
        </w:numPr>
      </w:pPr>
      <w:r>
        <w:t>Interpretation includes an assessment and takes critical thinking skills (i.e., positive or negative, based on individual's risk factors)</w:t>
      </w:r>
    </w:p>
    <w:p w:rsidR="0056192C" w:rsidRDefault="00297432">
      <w:pPr>
        <w:keepLines/>
        <w:numPr>
          <w:ilvl w:val="2"/>
          <w:numId w:val="13"/>
        </w:numPr>
      </w:pPr>
      <w:r>
        <w:t>See Table: Classification of TST Results</w:t>
      </w:r>
    </w:p>
    <w:p w:rsidR="0056192C" w:rsidRDefault="00297432">
      <w:pPr>
        <w:numPr>
          <w:ilvl w:val="0"/>
          <w:numId w:val="1"/>
        </w:numPr>
        <w:spacing w:before="200" w:after="200"/>
      </w:pPr>
      <w:r>
        <w:t>Caution: Persons with symptoms of active TB disease or who are HIV infected o</w:t>
      </w:r>
      <w:r>
        <w:t xml:space="preserve">r severely immunocompromised may have a false negative TST. </w:t>
      </w:r>
    </w:p>
    <w:p w:rsidR="0056192C" w:rsidRDefault="00297432">
      <w:r>
        <w:rPr>
          <w:b/>
        </w:rPr>
        <w:t>TWO-STEP TST:</w:t>
      </w:r>
      <w:r>
        <w:t xml:space="preserve"> </w:t>
      </w:r>
    </w:p>
    <w:p w:rsidR="0056192C" w:rsidRDefault="00297432">
      <w:r>
        <w:t>If the first TST is negative, give a second 0.1 mL of 5TU tuberculin (</w:t>
      </w:r>
      <w:proofErr w:type="spellStart"/>
      <w:r>
        <w:t>Tubersol</w:t>
      </w:r>
      <w:proofErr w:type="spellEnd"/>
      <w:r>
        <w:t xml:space="preserve">® or </w:t>
      </w:r>
      <w:proofErr w:type="spellStart"/>
      <w:r>
        <w:t>Aplisol</w:t>
      </w:r>
      <w:proofErr w:type="spellEnd"/>
      <w:r>
        <w:t>®) ID 7 – 21 days following the first TST. This can be performed on the same arm or opposi</w:t>
      </w:r>
      <w:r>
        <w:t>te arm. Documentation requirements are the same. Have the patient return in 48 to 72 hours and use the table “Classification of TST results” to determine the result.</w:t>
      </w:r>
    </w:p>
    <w:p w:rsidR="0056192C" w:rsidRDefault="0056192C">
      <w:pPr>
        <w:ind w:left="1080"/>
        <w:rPr>
          <w:b/>
        </w:rPr>
      </w:pPr>
    </w:p>
    <w:p w:rsidR="0056192C" w:rsidRDefault="00297432">
      <w:r>
        <w:rPr>
          <w:b/>
        </w:rPr>
        <w:t xml:space="preserve">FOLLOW-UP OF PATIENTS WITH A NEWLY-POSITIVE TST: </w:t>
      </w:r>
      <w:r>
        <w:t>Persons with a newly identified positive</w:t>
      </w:r>
      <w:r>
        <w:t xml:space="preserve"> TST should be referred to a provider for a physical examination and chest x-ray to rule out active TB disease immediately. Chest x-ray and medical evaluation shall be completed within 72 hours. </w:t>
      </w:r>
    </w:p>
    <w:p w:rsidR="0056192C" w:rsidRDefault="0056192C"/>
    <w:p w:rsidR="0056192C" w:rsidRDefault="00297432">
      <w:pPr>
        <w:keepNext/>
        <w:pBdr>
          <w:top w:val="nil"/>
          <w:left w:val="nil"/>
          <w:bottom w:val="nil"/>
          <w:right w:val="nil"/>
          <w:between w:val="nil"/>
        </w:pBdr>
        <w:rPr>
          <w:b/>
          <w:color w:val="000000"/>
        </w:rPr>
      </w:pPr>
      <w:r>
        <w:rPr>
          <w:b/>
          <w:color w:val="000000"/>
        </w:rPr>
        <w:t xml:space="preserve">Table: Classification of TST </w:t>
      </w:r>
      <w:r>
        <w:rPr>
          <w:b/>
        </w:rPr>
        <w:t>R</w:t>
      </w:r>
      <w:r>
        <w:rPr>
          <w:b/>
          <w:color w:val="000000"/>
        </w:rPr>
        <w:t>esults</w:t>
      </w:r>
    </w:p>
    <w:tbl>
      <w:tblPr>
        <w:tblStyle w:val="a5"/>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1995"/>
        <w:gridCol w:w="1545"/>
        <w:gridCol w:w="1335"/>
        <w:gridCol w:w="1350"/>
      </w:tblGrid>
      <w:tr w:rsidR="0056192C">
        <w:trPr>
          <w:trHeight w:val="253"/>
        </w:trPr>
        <w:tc>
          <w:tcPr>
            <w:tcW w:w="4170" w:type="dxa"/>
            <w:vMerge w:val="restart"/>
            <w:shd w:val="clear" w:color="auto" w:fill="auto"/>
          </w:tcPr>
          <w:p w:rsidR="0056192C" w:rsidRDefault="00297432">
            <w:pPr>
              <w:rPr>
                <w:b/>
                <w:color w:val="000000"/>
              </w:rPr>
            </w:pPr>
            <w:r>
              <w:rPr>
                <w:b/>
                <w:color w:val="000000"/>
              </w:rPr>
              <w:t>Category of Person Tested</w:t>
            </w:r>
          </w:p>
        </w:tc>
        <w:tc>
          <w:tcPr>
            <w:tcW w:w="6225" w:type="dxa"/>
            <w:gridSpan w:val="4"/>
            <w:shd w:val="clear" w:color="auto" w:fill="auto"/>
          </w:tcPr>
          <w:p w:rsidR="0056192C" w:rsidRDefault="00297432">
            <w:pPr>
              <w:jc w:val="center"/>
              <w:rPr>
                <w:b/>
                <w:color w:val="000000"/>
              </w:rPr>
            </w:pPr>
            <w:r>
              <w:rPr>
                <w:b/>
                <w:color w:val="000000"/>
              </w:rPr>
              <w:t>Tuberculin Skin Test (TST) Result (induration)</w:t>
            </w:r>
          </w:p>
        </w:tc>
      </w:tr>
      <w:tr w:rsidR="0056192C">
        <w:trPr>
          <w:trHeight w:val="161"/>
        </w:trPr>
        <w:tc>
          <w:tcPr>
            <w:tcW w:w="4170" w:type="dxa"/>
            <w:vMerge/>
            <w:shd w:val="clear" w:color="auto" w:fill="auto"/>
          </w:tcPr>
          <w:p w:rsidR="0056192C" w:rsidRDefault="0056192C">
            <w:pPr>
              <w:widowControl w:val="0"/>
              <w:pBdr>
                <w:top w:val="nil"/>
                <w:left w:val="nil"/>
                <w:bottom w:val="nil"/>
                <w:right w:val="nil"/>
                <w:between w:val="nil"/>
              </w:pBdr>
              <w:spacing w:line="276" w:lineRule="auto"/>
              <w:rPr>
                <w:b/>
                <w:color w:val="000000"/>
              </w:rPr>
            </w:pPr>
          </w:p>
        </w:tc>
        <w:tc>
          <w:tcPr>
            <w:tcW w:w="1995" w:type="dxa"/>
            <w:shd w:val="clear" w:color="auto" w:fill="auto"/>
          </w:tcPr>
          <w:p w:rsidR="0056192C" w:rsidRDefault="00297432">
            <w:pPr>
              <w:jc w:val="center"/>
              <w:rPr>
                <w:b/>
                <w:color w:val="000000"/>
              </w:rPr>
            </w:pPr>
            <w:r>
              <w:rPr>
                <w:b/>
                <w:color w:val="000000"/>
              </w:rPr>
              <w:t>&lt; 5 mm</w:t>
            </w:r>
          </w:p>
        </w:tc>
        <w:tc>
          <w:tcPr>
            <w:tcW w:w="1545" w:type="dxa"/>
            <w:shd w:val="clear" w:color="auto" w:fill="auto"/>
          </w:tcPr>
          <w:p w:rsidR="0056192C" w:rsidRDefault="00297432">
            <w:pPr>
              <w:jc w:val="center"/>
              <w:rPr>
                <w:b/>
                <w:color w:val="000000"/>
              </w:rPr>
            </w:pPr>
            <w:sdt>
              <w:sdtPr>
                <w:tag w:val="goog_rdk_0"/>
                <w:id w:val="-1611429569"/>
              </w:sdtPr>
              <w:sdtEndPr/>
              <w:sdtContent>
                <w:r>
                  <w:rPr>
                    <w:rFonts w:ascii="Gungsuh" w:eastAsia="Gungsuh" w:hAnsi="Gungsuh" w:cs="Gungsuh"/>
                    <w:b/>
                    <w:color w:val="000000"/>
                  </w:rPr>
                  <w:t>≥ 5 mm</w:t>
                </w:r>
              </w:sdtContent>
            </w:sdt>
          </w:p>
        </w:tc>
        <w:tc>
          <w:tcPr>
            <w:tcW w:w="1335" w:type="dxa"/>
            <w:shd w:val="clear" w:color="auto" w:fill="auto"/>
          </w:tcPr>
          <w:p w:rsidR="0056192C" w:rsidRDefault="00297432">
            <w:pPr>
              <w:jc w:val="center"/>
              <w:rPr>
                <w:b/>
                <w:color w:val="000000"/>
              </w:rPr>
            </w:pPr>
            <w:sdt>
              <w:sdtPr>
                <w:tag w:val="goog_rdk_1"/>
                <w:id w:val="-1613811221"/>
              </w:sdtPr>
              <w:sdtEndPr/>
              <w:sdtContent>
                <w:r>
                  <w:rPr>
                    <w:rFonts w:ascii="Gungsuh" w:eastAsia="Gungsuh" w:hAnsi="Gungsuh" w:cs="Gungsuh"/>
                    <w:b/>
                    <w:color w:val="000000"/>
                  </w:rPr>
                  <w:t>≥ 10 mm</w:t>
                </w:r>
              </w:sdtContent>
            </w:sdt>
          </w:p>
        </w:tc>
        <w:tc>
          <w:tcPr>
            <w:tcW w:w="1350" w:type="dxa"/>
            <w:shd w:val="clear" w:color="auto" w:fill="auto"/>
          </w:tcPr>
          <w:p w:rsidR="0056192C" w:rsidRDefault="00297432">
            <w:pPr>
              <w:jc w:val="center"/>
              <w:rPr>
                <w:b/>
                <w:color w:val="000000"/>
              </w:rPr>
            </w:pPr>
            <w:sdt>
              <w:sdtPr>
                <w:tag w:val="goog_rdk_2"/>
                <w:id w:val="1205985765"/>
              </w:sdtPr>
              <w:sdtEndPr/>
              <w:sdtContent>
                <w:r>
                  <w:rPr>
                    <w:rFonts w:ascii="Gungsuh" w:eastAsia="Gungsuh" w:hAnsi="Gungsuh" w:cs="Gungsuh"/>
                    <w:b/>
                    <w:color w:val="000000"/>
                  </w:rPr>
                  <w:t>≥ 15 mm</w:t>
                </w:r>
              </w:sdtContent>
            </w:sdt>
          </w:p>
        </w:tc>
      </w:tr>
      <w:tr w:rsidR="0056192C">
        <w:trPr>
          <w:trHeight w:val="253"/>
        </w:trPr>
        <w:tc>
          <w:tcPr>
            <w:tcW w:w="4170" w:type="dxa"/>
            <w:shd w:val="clear" w:color="auto" w:fill="auto"/>
          </w:tcPr>
          <w:p w:rsidR="0056192C" w:rsidRDefault="00297432">
            <w:pPr>
              <w:rPr>
                <w:color w:val="000000"/>
              </w:rPr>
            </w:pPr>
            <w:r>
              <w:rPr>
                <w:color w:val="000000"/>
              </w:rPr>
              <w:t xml:space="preserve">Recent contact of infectious TB case </w:t>
            </w:r>
          </w:p>
          <w:p w:rsidR="0056192C" w:rsidRDefault="00297432">
            <w:pPr>
              <w:rPr>
                <w:color w:val="000000"/>
              </w:rPr>
            </w:pPr>
            <w:r>
              <w:rPr>
                <w:color w:val="000000"/>
              </w:rPr>
              <w:t>(regar</w:t>
            </w:r>
            <w:r>
              <w:t>dless of age)</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auto"/>
          </w:tcPr>
          <w:p w:rsidR="0056192C" w:rsidRDefault="00297432">
            <w:pPr>
              <w:jc w:val="center"/>
              <w:rPr>
                <w:color w:val="000000"/>
              </w:rPr>
            </w:pPr>
            <w:r>
              <w:rPr>
                <w:color w:val="000000"/>
              </w:rPr>
              <w:t>Positive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HIV-infected</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auto"/>
          </w:tcPr>
          <w:p w:rsidR="0056192C" w:rsidRDefault="00297432">
            <w:pPr>
              <w:jc w:val="center"/>
              <w:rPr>
                <w:color w:val="000000"/>
              </w:rPr>
            </w:pPr>
            <w:r>
              <w:rPr>
                <w:color w:val="000000"/>
              </w:rPr>
              <w:t>Positive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Immunosuppressed or organ transplant recipient</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auto"/>
          </w:tcPr>
          <w:p w:rsidR="0056192C" w:rsidRDefault="00297432">
            <w:pPr>
              <w:jc w:val="center"/>
              <w:rPr>
                <w:color w:val="000000"/>
              </w:rPr>
            </w:pPr>
            <w:r>
              <w:rPr>
                <w:color w:val="000000"/>
              </w:rPr>
              <w:t>Positive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 xml:space="preserve">Fibrotic changes or scarring on chest x-ray </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auto"/>
          </w:tcPr>
          <w:p w:rsidR="0056192C" w:rsidRDefault="00297432">
            <w:pPr>
              <w:jc w:val="center"/>
              <w:rPr>
                <w:color w:val="000000"/>
              </w:rPr>
            </w:pPr>
            <w:r>
              <w:rPr>
                <w:color w:val="000000"/>
              </w:rPr>
              <w:t>Positive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Foreign-born from (or extensive travel to) high-prevalence country</w:t>
            </w:r>
            <w:r>
              <w:rPr>
                <w:color w:val="000000"/>
                <w:vertAlign w:val="superscript"/>
              </w:rPr>
              <w:t>1</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Injection drug user</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vertAlign w:val="superscript"/>
              </w:rPr>
            </w:pPr>
            <w:r>
              <w:rPr>
                <w:color w:val="000000"/>
              </w:rPr>
              <w:t>Resident/employee of high-risk congregate setting or health care worker</w:t>
            </w:r>
            <w:r>
              <w:rPr>
                <w:color w:val="000000"/>
                <w:vertAlign w:val="superscript"/>
              </w:rPr>
              <w:t>2</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Mycobacteria lab personnel</w:t>
            </w:r>
            <w:r>
              <w:rPr>
                <w:color w:val="000000"/>
                <w:vertAlign w:val="superscript"/>
              </w:rPr>
              <w:t>2</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 xml:space="preserve">High-risk clinical conditions </w:t>
            </w:r>
            <w:r>
              <w:rPr>
                <w:color w:val="000000"/>
                <w:vertAlign w:val="superscript"/>
              </w:rPr>
              <w:t>3</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 xml:space="preserve">Child </w:t>
            </w:r>
            <w:r>
              <w:rPr>
                <w:color w:val="000000"/>
                <w:u w:val="single"/>
              </w:rPr>
              <w:t>&lt;</w:t>
            </w:r>
            <w:r>
              <w:rPr>
                <w:color w:val="000000"/>
              </w:rPr>
              <w:t xml:space="preserve"> 4 years of age</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Child or adolescent exposed to high-risk adults</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auto"/>
          </w:tcPr>
          <w:p w:rsidR="0056192C" w:rsidRDefault="00297432">
            <w:pPr>
              <w:jc w:val="center"/>
              <w:rPr>
                <w:color w:val="000000"/>
              </w:rPr>
            </w:pPr>
            <w:r>
              <w:rPr>
                <w:color w:val="000000"/>
              </w:rPr>
              <w:t>Positive</w:t>
            </w:r>
          </w:p>
        </w:tc>
        <w:tc>
          <w:tcPr>
            <w:tcW w:w="1350" w:type="dxa"/>
            <w:shd w:val="clear" w:color="auto" w:fill="auto"/>
          </w:tcPr>
          <w:p w:rsidR="0056192C" w:rsidRDefault="00297432">
            <w:pPr>
              <w:jc w:val="center"/>
              <w:rPr>
                <w:color w:val="000000"/>
              </w:rPr>
            </w:pPr>
            <w:r>
              <w:rPr>
                <w:color w:val="000000"/>
              </w:rPr>
              <w:t>Positive</w:t>
            </w:r>
          </w:p>
        </w:tc>
      </w:tr>
      <w:tr w:rsidR="0056192C">
        <w:trPr>
          <w:trHeight w:val="253"/>
        </w:trPr>
        <w:tc>
          <w:tcPr>
            <w:tcW w:w="4170" w:type="dxa"/>
            <w:shd w:val="clear" w:color="auto" w:fill="auto"/>
          </w:tcPr>
          <w:p w:rsidR="0056192C" w:rsidRDefault="00297432">
            <w:pPr>
              <w:rPr>
                <w:color w:val="000000"/>
              </w:rPr>
            </w:pPr>
            <w:r>
              <w:rPr>
                <w:color w:val="000000"/>
              </w:rPr>
              <w:t>No risk factors (TB screening discouraged)</w:t>
            </w:r>
          </w:p>
        </w:tc>
        <w:tc>
          <w:tcPr>
            <w:tcW w:w="1995" w:type="dxa"/>
            <w:shd w:val="clear" w:color="auto" w:fill="CCCCCC"/>
          </w:tcPr>
          <w:p w:rsidR="0056192C" w:rsidRDefault="00297432">
            <w:pPr>
              <w:jc w:val="center"/>
              <w:rPr>
                <w:color w:val="000000"/>
              </w:rPr>
            </w:pPr>
            <w:r>
              <w:rPr>
                <w:color w:val="000000"/>
              </w:rPr>
              <w:t>Negative</w:t>
            </w:r>
          </w:p>
        </w:tc>
        <w:tc>
          <w:tcPr>
            <w:tcW w:w="1545" w:type="dxa"/>
            <w:shd w:val="clear" w:color="auto" w:fill="CCCCCC"/>
          </w:tcPr>
          <w:p w:rsidR="0056192C" w:rsidRDefault="00297432">
            <w:pPr>
              <w:jc w:val="center"/>
              <w:rPr>
                <w:color w:val="000000"/>
              </w:rPr>
            </w:pPr>
            <w:r>
              <w:rPr>
                <w:color w:val="000000"/>
              </w:rPr>
              <w:t>Negative</w:t>
            </w:r>
          </w:p>
        </w:tc>
        <w:tc>
          <w:tcPr>
            <w:tcW w:w="1335" w:type="dxa"/>
            <w:shd w:val="clear" w:color="auto" w:fill="CCCCCC"/>
          </w:tcPr>
          <w:p w:rsidR="0056192C" w:rsidRDefault="00297432">
            <w:pPr>
              <w:jc w:val="center"/>
              <w:rPr>
                <w:color w:val="000000"/>
              </w:rPr>
            </w:pPr>
            <w:r>
              <w:rPr>
                <w:color w:val="000000"/>
              </w:rPr>
              <w:t>Negative</w:t>
            </w:r>
          </w:p>
        </w:tc>
        <w:tc>
          <w:tcPr>
            <w:tcW w:w="1350" w:type="dxa"/>
            <w:shd w:val="clear" w:color="auto" w:fill="auto"/>
          </w:tcPr>
          <w:p w:rsidR="0056192C" w:rsidRDefault="00297432">
            <w:pPr>
              <w:jc w:val="center"/>
              <w:rPr>
                <w:color w:val="000000"/>
              </w:rPr>
            </w:pPr>
            <w:r>
              <w:rPr>
                <w:color w:val="000000"/>
              </w:rPr>
              <w:t>Positive</w:t>
            </w:r>
          </w:p>
        </w:tc>
      </w:tr>
    </w:tbl>
    <w:p w:rsidR="0056192C" w:rsidRDefault="00297432">
      <w:pPr>
        <w:numPr>
          <w:ilvl w:val="0"/>
          <w:numId w:val="12"/>
        </w:numPr>
        <w:pBdr>
          <w:top w:val="nil"/>
          <w:left w:val="nil"/>
          <w:bottom w:val="nil"/>
          <w:right w:val="nil"/>
          <w:between w:val="nil"/>
        </w:pBdr>
        <w:spacing w:before="20" w:after="20"/>
        <w:rPr>
          <w:color w:val="000000"/>
        </w:rPr>
      </w:pPr>
      <w:r>
        <w:rPr>
          <w:color w:val="000000"/>
        </w:rPr>
        <w:t xml:space="preserve">BCG vaccination is not a contraindication for TST; disregard BCG history when interpreting TST result. </w:t>
      </w:r>
    </w:p>
    <w:p w:rsidR="0056192C" w:rsidRDefault="00297432">
      <w:pPr>
        <w:numPr>
          <w:ilvl w:val="0"/>
          <w:numId w:val="12"/>
        </w:numPr>
        <w:pBdr>
          <w:top w:val="nil"/>
          <w:left w:val="nil"/>
          <w:bottom w:val="nil"/>
          <w:right w:val="nil"/>
          <w:between w:val="nil"/>
        </w:pBdr>
        <w:spacing w:before="20" w:after="20"/>
        <w:rPr>
          <w:color w:val="000000"/>
        </w:rPr>
      </w:pPr>
      <w:sdt>
        <w:sdtPr>
          <w:tag w:val="goog_rdk_3"/>
          <w:id w:val="-2014900752"/>
        </w:sdtPr>
        <w:sdtEndPr/>
        <w:sdtContent>
          <w:r>
            <w:rPr>
              <w:rFonts w:ascii="Gungsuh" w:eastAsia="Gungsuh" w:hAnsi="Gungsuh" w:cs="Gungsuh"/>
              <w:color w:val="000000"/>
            </w:rPr>
            <w:t>In instances of repeated testing (other than contacts), an increase in TST result of ≥ 10 mm within 2 years is considered a TST conversion indicative of recent infection.</w:t>
          </w:r>
        </w:sdtContent>
      </w:sdt>
    </w:p>
    <w:p w:rsidR="0056192C" w:rsidRDefault="00297432">
      <w:pPr>
        <w:numPr>
          <w:ilvl w:val="0"/>
          <w:numId w:val="12"/>
        </w:numPr>
        <w:pBdr>
          <w:top w:val="nil"/>
          <w:left w:val="nil"/>
          <w:bottom w:val="nil"/>
          <w:right w:val="nil"/>
          <w:between w:val="nil"/>
        </w:pBdr>
        <w:spacing w:before="20" w:after="20"/>
        <w:rPr>
          <w:color w:val="000000"/>
        </w:rPr>
      </w:pPr>
      <w:r>
        <w:rPr>
          <w:color w:val="000000"/>
        </w:rPr>
        <w:t>Substance abuse, diabetes mellitus, silicosis, cancer of the head or neck, hematolo</w:t>
      </w:r>
      <w:r>
        <w:rPr>
          <w:color w:val="000000"/>
        </w:rPr>
        <w:t xml:space="preserve">gic or reticuloendothelial disease such as Hodgkin’s disease or leukemia, </w:t>
      </w:r>
      <w:r>
        <w:t>end-stage</w:t>
      </w:r>
      <w:r>
        <w:rPr>
          <w:color w:val="000000"/>
        </w:rPr>
        <w:t xml:space="preserve"> renal disease, intestinal bypass or gastrectomy, chronic malabsorption syndromes, low body weight (i.e., 10% or more below ideal for the given population).</w:t>
      </w:r>
    </w:p>
    <w:p w:rsidR="0056192C" w:rsidRDefault="00297432">
      <w:pPr>
        <w:numPr>
          <w:ilvl w:val="0"/>
          <w:numId w:val="7"/>
        </w:numPr>
        <w:spacing w:before="120" w:after="120"/>
        <w:rPr>
          <w:rFonts w:ascii="Arial" w:eastAsia="Arial" w:hAnsi="Arial" w:cs="Arial"/>
          <w:i/>
          <w:color w:val="000000"/>
        </w:rPr>
      </w:pPr>
      <w:r>
        <w:rPr>
          <w:b/>
          <w:smallCaps/>
          <w:color w:val="000000"/>
        </w:rPr>
        <w:t>Medical emergenc</w:t>
      </w:r>
      <w:r>
        <w:rPr>
          <w:b/>
          <w:smallCaps/>
          <w:color w:val="000000"/>
        </w:rPr>
        <w:t xml:space="preserve">y or </w:t>
      </w:r>
      <w:hyperlink r:id="rId22">
        <w:r>
          <w:rPr>
            <w:b/>
            <w:smallCaps/>
            <w:color w:val="1155CC"/>
            <w:u w:val="single"/>
          </w:rPr>
          <w:t>anaphylaxis</w:t>
        </w:r>
      </w:hyperlink>
      <w:r>
        <w:rPr>
          <w:b/>
          <w:smallCaps/>
          <w:color w:val="000000"/>
        </w:rPr>
        <w:t>:</w:t>
      </w:r>
      <w:r>
        <w:rPr>
          <w:b/>
          <w:color w:val="000000"/>
        </w:rPr>
        <w:t xml:space="preserve"> </w:t>
      </w:r>
      <w:r>
        <w:rPr>
          <w:i/>
          <w:color w:val="000000"/>
        </w:rPr>
        <w:t xml:space="preserve">[Depending on clinic staffing, </w:t>
      </w:r>
      <w:r>
        <w:rPr>
          <w:i/>
        </w:rPr>
        <w:t>including</w:t>
      </w:r>
      <w:r>
        <w:rPr>
          <w:i/>
          <w:color w:val="000000"/>
        </w:rPr>
        <w:t xml:space="preserve"> one of the two options below.]</w:t>
      </w:r>
    </w:p>
    <w:p w:rsidR="0056192C" w:rsidRDefault="00297432">
      <w:pPr>
        <w:numPr>
          <w:ilvl w:val="1"/>
          <w:numId w:val="7"/>
        </w:numPr>
        <w:spacing w:before="120" w:after="120"/>
        <w:rPr>
          <w:i/>
          <w:color w:val="000000"/>
        </w:rPr>
      </w:pPr>
      <w:r>
        <w:rPr>
          <w:color w:val="231F20"/>
          <w:highlight w:val="white"/>
        </w:rPr>
        <w:t>When exposed to something they’re allergic to, some p</w:t>
      </w:r>
      <w:r>
        <w:rPr>
          <w:color w:val="231F20"/>
          <w:highlight w:val="white"/>
        </w:rPr>
        <w:t xml:space="preserve">eople experience a potentially life-threatening reaction called anaphylaxis. As a result, their immune system releases chemicals that flood the body. This can lead to anaphylactic shock. </w:t>
      </w:r>
      <w:r>
        <w:rPr>
          <w:color w:val="333333"/>
          <w:highlight w:val="white"/>
        </w:rPr>
        <w:t>Anaphylaxis symptoms occur suddenly and can progress quickly. The ear</w:t>
      </w:r>
      <w:r>
        <w:rPr>
          <w:color w:val="333333"/>
          <w:highlight w:val="white"/>
        </w:rPr>
        <w:t xml:space="preserve">ly symptoms may be mild, such as a runny nose, a skin rash, or a "strange feeling." These symptoms can quickly lead to more serious problems. </w:t>
      </w:r>
      <w:r>
        <w:rPr>
          <w:color w:val="333333"/>
          <w:highlight w:val="white"/>
        </w:rPr>
        <w:lastRenderedPageBreak/>
        <w:t>That’s why it’s critical for people with severe allergies to know the symptoms of anaphylaxis and be prepared with</w:t>
      </w:r>
      <w:r>
        <w:rPr>
          <w:color w:val="333333"/>
          <w:highlight w:val="white"/>
        </w:rPr>
        <w:t xml:space="preserve"> an emergency action plan.</w:t>
      </w:r>
    </w:p>
    <w:p w:rsidR="0056192C" w:rsidRDefault="00297432">
      <w:pPr>
        <w:numPr>
          <w:ilvl w:val="2"/>
          <w:numId w:val="7"/>
        </w:numPr>
        <w:spacing w:before="120" w:after="120"/>
        <w:rPr>
          <w:color w:val="333333"/>
          <w:highlight w:val="white"/>
        </w:rPr>
      </w:pPr>
      <w:hyperlink r:id="rId23">
        <w:r>
          <w:rPr>
            <w:color w:val="1155CC"/>
            <w:highlight w:val="white"/>
            <w:u w:val="single"/>
          </w:rPr>
          <w:t>Adults</w:t>
        </w:r>
      </w:hyperlink>
    </w:p>
    <w:p w:rsidR="0056192C" w:rsidRDefault="00297432">
      <w:pPr>
        <w:numPr>
          <w:ilvl w:val="2"/>
          <w:numId w:val="7"/>
        </w:numPr>
        <w:spacing w:before="120" w:after="120"/>
        <w:rPr>
          <w:color w:val="333333"/>
          <w:highlight w:val="white"/>
        </w:rPr>
      </w:pPr>
      <w:hyperlink r:id="rId24">
        <w:r>
          <w:rPr>
            <w:color w:val="1155CC"/>
            <w:highlight w:val="white"/>
            <w:u w:val="single"/>
          </w:rPr>
          <w:t>Pediatrics</w:t>
        </w:r>
      </w:hyperlink>
    </w:p>
    <w:p w:rsidR="0056192C" w:rsidRDefault="0056192C">
      <w:pPr>
        <w:spacing w:before="120" w:after="120"/>
        <w:ind w:left="1080"/>
        <w:rPr>
          <w:color w:val="333333"/>
          <w:highlight w:val="white"/>
        </w:rPr>
      </w:pPr>
    </w:p>
    <w:tbl>
      <w:tblPr>
        <w:tblStyle w:val="a6"/>
        <w:tblW w:w="9435"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95"/>
        <w:gridCol w:w="2430"/>
      </w:tblGrid>
      <w:tr w:rsidR="0056192C">
        <w:trPr>
          <w:trHeight w:val="207"/>
        </w:trPr>
        <w:tc>
          <w:tcPr>
            <w:tcW w:w="9435" w:type="dxa"/>
            <w:gridSpan w:val="3"/>
            <w:tcBorders>
              <w:top w:val="single" w:sz="4" w:space="0" w:color="000000"/>
              <w:left w:val="single" w:sz="4" w:space="0" w:color="000000"/>
              <w:bottom w:val="single" w:sz="4" w:space="0" w:color="000000"/>
              <w:right w:val="single" w:sz="4" w:space="0" w:color="000000"/>
            </w:tcBorders>
            <w:shd w:val="clear" w:color="auto" w:fill="auto"/>
          </w:tcPr>
          <w:p w:rsidR="0056192C" w:rsidRDefault="00297432">
            <w:pPr>
              <w:rPr>
                <w:color w:val="000000"/>
              </w:rPr>
            </w:pPr>
            <w:r>
              <w:rPr>
                <w:color w:val="000000"/>
              </w:rPr>
              <w:t xml:space="preserve">In the event of a medical emergency (described below) related to the administration of a TST, RN will call 911. </w:t>
            </w:r>
          </w:p>
          <w:p w:rsidR="0056192C" w:rsidRDefault="00297432">
            <w:r>
              <w:rPr>
                <w:color w:val="000000"/>
              </w:rPr>
              <w:t xml:space="preserve">In the event there are some minor complaints in the absence of abnormal vital signs, the RN will update and </w:t>
            </w:r>
            <w:r>
              <w:t>provide the assessment data and sum</w:t>
            </w:r>
            <w:r>
              <w:t xml:space="preserve">marize the situation for the Medical Director. </w:t>
            </w:r>
          </w:p>
        </w:tc>
      </w:tr>
      <w:tr w:rsidR="0056192C">
        <w:trPr>
          <w:trHeight w:val="144"/>
        </w:trPr>
        <w:tc>
          <w:tcPr>
            <w:tcW w:w="9435" w:type="dxa"/>
            <w:gridSpan w:val="3"/>
            <w:tcBorders>
              <w:top w:val="single" w:sz="4" w:space="0" w:color="000000"/>
              <w:bottom w:val="single" w:sz="4" w:space="0" w:color="000000"/>
            </w:tcBorders>
            <w:shd w:val="clear" w:color="auto" w:fill="auto"/>
          </w:tcPr>
          <w:p w:rsidR="0056192C" w:rsidRDefault="0056192C">
            <w:pPr>
              <w:spacing w:before="80"/>
            </w:pPr>
          </w:p>
        </w:tc>
      </w:tr>
      <w:tr w:rsidR="0056192C">
        <w:trPr>
          <w:trHeight w:val="207"/>
        </w:trPr>
        <w:tc>
          <w:tcPr>
            <w:tcW w:w="9435" w:type="dxa"/>
            <w:gridSpan w:val="3"/>
            <w:tcBorders>
              <w:top w:val="single" w:sz="4" w:space="0" w:color="000000"/>
              <w:left w:val="single" w:sz="4" w:space="0" w:color="000000"/>
              <w:right w:val="single" w:sz="4" w:space="0" w:color="000000"/>
            </w:tcBorders>
            <w:shd w:val="clear" w:color="auto" w:fill="auto"/>
          </w:tcPr>
          <w:p w:rsidR="0056192C" w:rsidRDefault="00297432">
            <w:pPr>
              <w:spacing w:before="60"/>
              <w:rPr>
                <w:color w:val="000000"/>
              </w:rPr>
            </w:pPr>
            <w:r>
              <w:rPr>
                <w:color w:val="000000"/>
              </w:rPr>
              <w:t>In the event of an onset of symptoms of anaphylaxis including:</w:t>
            </w:r>
          </w:p>
        </w:tc>
      </w:tr>
      <w:tr w:rsidR="0056192C">
        <w:trPr>
          <w:trHeight w:val="185"/>
        </w:trPr>
        <w:tc>
          <w:tcPr>
            <w:tcW w:w="3510" w:type="dxa"/>
            <w:tcBorders>
              <w:left w:val="single" w:sz="4" w:space="0" w:color="000000"/>
            </w:tcBorders>
            <w:shd w:val="clear" w:color="auto" w:fill="auto"/>
            <w:tcMar>
              <w:top w:w="0" w:type="dxa"/>
              <w:left w:w="0" w:type="dxa"/>
              <w:bottom w:w="0" w:type="dxa"/>
              <w:right w:w="0" w:type="dxa"/>
            </w:tcMar>
          </w:tcPr>
          <w:p w:rsidR="0056192C" w:rsidRDefault="00297432">
            <w:pPr>
              <w:numPr>
                <w:ilvl w:val="2"/>
                <w:numId w:val="9"/>
              </w:numPr>
              <w:spacing w:before="80"/>
              <w:ind w:left="360" w:hanging="148"/>
              <w:rPr>
                <w:rFonts w:ascii="Arial" w:eastAsia="Arial" w:hAnsi="Arial" w:cs="Arial"/>
                <w:color w:val="000000"/>
              </w:rPr>
            </w:pPr>
            <w:r>
              <w:rPr>
                <w:b/>
                <w:highlight w:val="white"/>
              </w:rPr>
              <w:t>Respiratory: </w:t>
            </w:r>
            <w:r>
              <w:rPr>
                <w:highlight w:val="white"/>
              </w:rPr>
              <w:t>difficulty breathing, rapid breathing, shortness of breath, or wheezing</w:t>
            </w:r>
          </w:p>
        </w:tc>
        <w:tc>
          <w:tcPr>
            <w:tcW w:w="3495" w:type="dxa"/>
            <w:shd w:val="clear" w:color="auto" w:fill="auto"/>
            <w:tcMar>
              <w:top w:w="0" w:type="dxa"/>
              <w:left w:w="0" w:type="dxa"/>
              <w:bottom w:w="0" w:type="dxa"/>
              <w:right w:w="0" w:type="dxa"/>
            </w:tcMar>
          </w:tcPr>
          <w:p w:rsidR="0056192C" w:rsidRDefault="00297432">
            <w:pPr>
              <w:numPr>
                <w:ilvl w:val="2"/>
                <w:numId w:val="9"/>
              </w:numPr>
              <w:spacing w:before="80"/>
              <w:ind w:left="360"/>
              <w:rPr>
                <w:rFonts w:ascii="Arial" w:eastAsia="Arial" w:hAnsi="Arial" w:cs="Arial"/>
                <w:color w:val="000000"/>
              </w:rPr>
            </w:pPr>
            <w:r>
              <w:rPr>
                <w:b/>
                <w:highlight w:val="white"/>
              </w:rPr>
              <w:t>Skin: </w:t>
            </w:r>
            <w:r>
              <w:rPr>
                <w:highlight w:val="white"/>
              </w:rPr>
              <w:t>hives, swelling under the skin, blue skin from poor circulation, or rashes</w:t>
            </w:r>
          </w:p>
        </w:tc>
        <w:tc>
          <w:tcPr>
            <w:tcW w:w="2430" w:type="dxa"/>
            <w:tcBorders>
              <w:right w:val="single" w:sz="4" w:space="0" w:color="000000"/>
            </w:tcBorders>
            <w:shd w:val="clear" w:color="auto" w:fill="auto"/>
            <w:tcMar>
              <w:top w:w="0" w:type="dxa"/>
              <w:left w:w="0" w:type="dxa"/>
              <w:bottom w:w="0" w:type="dxa"/>
              <w:right w:w="0" w:type="dxa"/>
            </w:tcMar>
          </w:tcPr>
          <w:p w:rsidR="0056192C" w:rsidRDefault="00297432">
            <w:pPr>
              <w:numPr>
                <w:ilvl w:val="2"/>
                <w:numId w:val="9"/>
              </w:numPr>
              <w:spacing w:before="80"/>
              <w:ind w:left="360"/>
              <w:rPr>
                <w:rFonts w:ascii="Arial" w:eastAsia="Arial" w:hAnsi="Arial" w:cs="Arial"/>
                <w:color w:val="000000"/>
              </w:rPr>
            </w:pPr>
            <w:r>
              <w:rPr>
                <w:b/>
                <w:highlight w:val="white"/>
              </w:rPr>
              <w:t>Gastrointestinal: </w:t>
            </w:r>
            <w:r>
              <w:rPr>
                <w:highlight w:val="white"/>
              </w:rPr>
              <w:t>nausea or vomiting</w:t>
            </w:r>
          </w:p>
        </w:tc>
      </w:tr>
      <w:tr w:rsidR="0056192C">
        <w:trPr>
          <w:trHeight w:val="144"/>
        </w:trPr>
        <w:tc>
          <w:tcPr>
            <w:tcW w:w="3510" w:type="dxa"/>
            <w:tcBorders>
              <w:left w:val="single" w:sz="4" w:space="0" w:color="000000"/>
            </w:tcBorders>
            <w:shd w:val="clear" w:color="auto" w:fill="auto"/>
            <w:tcMar>
              <w:top w:w="0" w:type="dxa"/>
              <w:left w:w="0" w:type="dxa"/>
              <w:bottom w:w="0" w:type="dxa"/>
              <w:right w:w="0" w:type="dxa"/>
            </w:tcMar>
          </w:tcPr>
          <w:p w:rsidR="0056192C" w:rsidRDefault="00297432">
            <w:pPr>
              <w:numPr>
                <w:ilvl w:val="2"/>
                <w:numId w:val="9"/>
              </w:numPr>
              <w:spacing w:before="80"/>
              <w:ind w:left="360" w:hanging="148"/>
              <w:rPr>
                <w:rFonts w:ascii="Arial" w:eastAsia="Arial" w:hAnsi="Arial" w:cs="Arial"/>
                <w:color w:val="000000"/>
              </w:rPr>
            </w:pPr>
            <w:r>
              <w:rPr>
                <w:b/>
                <w:highlight w:val="white"/>
              </w:rPr>
              <w:t>Whole body: </w:t>
            </w:r>
            <w:r>
              <w:rPr>
                <w:highlight w:val="white"/>
              </w:rPr>
              <w:t>fainting, lightheadedness, low blood pressure, dizziness, or flushing</w:t>
            </w:r>
          </w:p>
        </w:tc>
        <w:tc>
          <w:tcPr>
            <w:tcW w:w="3495" w:type="dxa"/>
            <w:shd w:val="clear" w:color="auto" w:fill="auto"/>
            <w:tcMar>
              <w:top w:w="0" w:type="dxa"/>
              <w:left w:w="0" w:type="dxa"/>
              <w:bottom w:w="0" w:type="dxa"/>
              <w:right w:w="0" w:type="dxa"/>
            </w:tcMar>
          </w:tcPr>
          <w:p w:rsidR="0056192C" w:rsidRDefault="00297432">
            <w:pPr>
              <w:numPr>
                <w:ilvl w:val="2"/>
                <w:numId w:val="9"/>
              </w:numPr>
              <w:spacing w:before="80"/>
              <w:ind w:left="360"/>
              <w:rPr>
                <w:rFonts w:ascii="Arial" w:eastAsia="Arial" w:hAnsi="Arial" w:cs="Arial"/>
                <w:color w:val="000000"/>
              </w:rPr>
            </w:pPr>
            <w:r>
              <w:rPr>
                <w:b/>
                <w:highlight w:val="white"/>
              </w:rPr>
              <w:t>Also common: </w:t>
            </w:r>
            <w:r>
              <w:rPr>
                <w:highlight w:val="white"/>
              </w:rPr>
              <w:t>fast heart rate, feeling of impending doom, itching, tongue swelling, difficulty swallowing, facial swelling, mental confusion, nasal congestion, or impaired voice</w:t>
            </w:r>
          </w:p>
        </w:tc>
        <w:tc>
          <w:tcPr>
            <w:tcW w:w="2430" w:type="dxa"/>
            <w:tcBorders>
              <w:right w:val="single" w:sz="4" w:space="0" w:color="000000"/>
            </w:tcBorders>
            <w:shd w:val="clear" w:color="auto" w:fill="auto"/>
            <w:tcMar>
              <w:top w:w="0" w:type="dxa"/>
              <w:left w:w="0" w:type="dxa"/>
              <w:bottom w:w="0" w:type="dxa"/>
              <w:right w:w="0" w:type="dxa"/>
            </w:tcMar>
          </w:tcPr>
          <w:p w:rsidR="0056192C" w:rsidRDefault="0056192C">
            <w:pPr>
              <w:spacing w:before="80"/>
              <w:rPr>
                <w:color w:val="000000"/>
              </w:rPr>
            </w:pPr>
          </w:p>
        </w:tc>
      </w:tr>
      <w:tr w:rsidR="0056192C">
        <w:trPr>
          <w:trHeight w:val="689"/>
        </w:trPr>
        <w:tc>
          <w:tcPr>
            <w:tcW w:w="9435" w:type="dxa"/>
            <w:gridSpan w:val="3"/>
            <w:tcBorders>
              <w:left w:val="single" w:sz="4" w:space="0" w:color="000000"/>
              <w:bottom w:val="single" w:sz="4" w:space="0" w:color="000000"/>
              <w:right w:val="single" w:sz="4" w:space="0" w:color="000000"/>
            </w:tcBorders>
            <w:shd w:val="clear" w:color="auto" w:fill="auto"/>
          </w:tcPr>
          <w:p w:rsidR="0056192C" w:rsidRDefault="00297432">
            <w:pPr>
              <w:spacing w:before="120" w:after="120"/>
              <w:rPr>
                <w:b/>
                <w:color w:val="000000"/>
                <w:highlight w:val="white"/>
              </w:rPr>
            </w:pPr>
            <w:r>
              <w:t>__</w:t>
            </w:r>
            <w:r>
              <w:rPr>
                <w:highlight w:val="white"/>
              </w:rPr>
              <w:t>Fill in with Medical Provider directions (e.g., call 911, administer epinephrine) See CDC link “</w:t>
            </w:r>
            <w:hyperlink r:id="rId25">
              <w:r>
                <w:rPr>
                  <w:b/>
                  <w:smallCaps/>
                  <w:color w:val="1155CC"/>
                  <w:highlight w:val="white"/>
                  <w:u w:val="single"/>
                </w:rPr>
                <w:t>anaphylaxis</w:t>
              </w:r>
            </w:hyperlink>
            <w:r>
              <w:rPr>
                <w:highlight w:val="white"/>
              </w:rPr>
              <w:t>” ______________________</w:t>
            </w:r>
          </w:p>
        </w:tc>
      </w:tr>
    </w:tbl>
    <w:p w:rsidR="0056192C" w:rsidRDefault="0056192C">
      <w:pPr>
        <w:spacing w:before="40" w:after="120"/>
        <w:ind w:left="360"/>
      </w:pPr>
    </w:p>
    <w:p w:rsidR="0056192C" w:rsidRDefault="00297432">
      <w:pPr>
        <w:spacing w:before="40" w:after="120"/>
        <w:ind w:left="360"/>
        <w:rPr>
          <w:b/>
          <w:sz w:val="30"/>
          <w:szCs w:val="30"/>
        </w:rPr>
      </w:pPr>
      <w:r>
        <w:rPr>
          <w:b/>
          <w:sz w:val="30"/>
          <w:szCs w:val="30"/>
        </w:rPr>
        <w:t xml:space="preserve">Standing </w:t>
      </w:r>
      <w:r>
        <w:rPr>
          <w:b/>
          <w:sz w:val="30"/>
          <w:szCs w:val="30"/>
        </w:rPr>
        <w:t xml:space="preserve">Orders for Obtaining Radiographic Studies of the Chest </w:t>
      </w:r>
    </w:p>
    <w:p w:rsidR="0056192C" w:rsidRDefault="00297432">
      <w:pPr>
        <w:spacing w:before="40" w:after="120" w:line="360" w:lineRule="auto"/>
        <w:ind w:left="360"/>
      </w:pPr>
      <w:r>
        <w:t xml:space="preserve">A. Indications </w:t>
      </w:r>
    </w:p>
    <w:p w:rsidR="0056192C" w:rsidRDefault="00297432">
      <w:pPr>
        <w:numPr>
          <w:ilvl w:val="0"/>
          <w:numId w:val="11"/>
        </w:numPr>
        <w:spacing w:before="40" w:line="360" w:lineRule="auto"/>
      </w:pPr>
      <w:r>
        <w:t>New positive skin test or IGRA</w:t>
      </w:r>
    </w:p>
    <w:p w:rsidR="0056192C" w:rsidRDefault="00297432">
      <w:pPr>
        <w:numPr>
          <w:ilvl w:val="0"/>
          <w:numId w:val="11"/>
        </w:numPr>
        <w:spacing w:line="360" w:lineRule="auto"/>
      </w:pPr>
      <w:r>
        <w:t xml:space="preserve">Past positive skin test or IGRA with no chest radiograph since positivity was first documented </w:t>
      </w:r>
    </w:p>
    <w:p w:rsidR="0056192C" w:rsidRDefault="00297432">
      <w:pPr>
        <w:numPr>
          <w:ilvl w:val="0"/>
          <w:numId w:val="11"/>
        </w:numPr>
        <w:spacing w:line="360" w:lineRule="auto"/>
      </w:pPr>
      <w:r>
        <w:t xml:space="preserve">Contacts of patients with pulmonary tuberculosis disease if the contact is (PA/Lateral): </w:t>
      </w:r>
    </w:p>
    <w:p w:rsidR="0056192C" w:rsidRDefault="00297432">
      <w:pPr>
        <w:numPr>
          <w:ilvl w:val="1"/>
          <w:numId w:val="11"/>
        </w:numPr>
        <w:spacing w:line="360" w:lineRule="auto"/>
        <w:rPr>
          <w:rFonts w:ascii="Arial" w:eastAsia="Arial" w:hAnsi="Arial" w:cs="Arial"/>
        </w:rPr>
      </w:pPr>
      <w:r>
        <w:rPr>
          <w:u w:val="single"/>
        </w:rPr>
        <w:t>&lt;</w:t>
      </w:r>
      <w:r>
        <w:t xml:space="preserve">5 years of age  </w:t>
      </w:r>
      <w:r>
        <w:rPr>
          <w:b/>
        </w:rPr>
        <w:t>or</w:t>
      </w:r>
      <w:r>
        <w:t xml:space="preserve"> </w:t>
      </w:r>
    </w:p>
    <w:p w:rsidR="0056192C" w:rsidRDefault="00297432">
      <w:pPr>
        <w:numPr>
          <w:ilvl w:val="1"/>
          <w:numId w:val="11"/>
        </w:numPr>
        <w:spacing w:line="360" w:lineRule="auto"/>
        <w:rPr>
          <w:rFonts w:ascii="Arial" w:eastAsia="Arial" w:hAnsi="Arial" w:cs="Arial"/>
        </w:rPr>
      </w:pPr>
      <w:r>
        <w:t xml:space="preserve">HIV infected   </w:t>
      </w:r>
      <w:r>
        <w:rPr>
          <w:b/>
        </w:rPr>
        <w:t xml:space="preserve">or </w:t>
      </w:r>
    </w:p>
    <w:p w:rsidR="0056192C" w:rsidRDefault="00297432">
      <w:pPr>
        <w:numPr>
          <w:ilvl w:val="1"/>
          <w:numId w:val="11"/>
        </w:numPr>
        <w:spacing w:line="360" w:lineRule="auto"/>
      </w:pPr>
      <w:r>
        <w:t xml:space="preserve">immunosuppressed </w:t>
      </w:r>
    </w:p>
    <w:p w:rsidR="0056192C" w:rsidRDefault="00297432">
      <w:pPr>
        <w:numPr>
          <w:ilvl w:val="0"/>
          <w:numId w:val="11"/>
        </w:numPr>
        <w:spacing w:line="360" w:lineRule="auto"/>
      </w:pPr>
      <w:r>
        <w:t xml:space="preserve">Reports of any abnormality on civil surgeon exams </w:t>
      </w:r>
    </w:p>
    <w:p w:rsidR="0056192C" w:rsidRDefault="00297432">
      <w:pPr>
        <w:numPr>
          <w:ilvl w:val="0"/>
          <w:numId w:val="11"/>
        </w:numPr>
        <w:spacing w:line="360" w:lineRule="auto"/>
      </w:pPr>
      <w:r>
        <w:t xml:space="preserve">Persons immigrated with Class B notification </w:t>
      </w:r>
    </w:p>
    <w:p w:rsidR="0056192C" w:rsidRDefault="00297432">
      <w:pPr>
        <w:numPr>
          <w:ilvl w:val="0"/>
          <w:numId w:val="11"/>
        </w:numPr>
        <w:spacing w:line="360" w:lineRule="auto"/>
      </w:pPr>
      <w:r>
        <w:lastRenderedPageBreak/>
        <w:t>Persons (ag</w:t>
      </w:r>
      <w:r>
        <w:t xml:space="preserve">e 6 and above) seeking treatment for latent TB infection whose last chest radiograph is more than three months old or unavailable </w:t>
      </w:r>
    </w:p>
    <w:p w:rsidR="0056192C" w:rsidRDefault="00297432">
      <w:pPr>
        <w:numPr>
          <w:ilvl w:val="0"/>
          <w:numId w:val="11"/>
        </w:numPr>
        <w:spacing w:line="360" w:lineRule="auto"/>
      </w:pPr>
      <w:r>
        <w:t>Persons with signs and symptoms consistent with active TB disease. (</w:t>
      </w:r>
      <w:proofErr w:type="gramStart"/>
      <w:r>
        <w:t>i.e</w:t>
      </w:r>
      <w:proofErr w:type="gramEnd"/>
      <w:r>
        <w:t>. productive cough greater than three weeks in duratio</w:t>
      </w:r>
      <w:r>
        <w:t xml:space="preserve">n, night sweats, hemoptysis, anorexia, lost weight, fatigues, etc.) </w:t>
      </w:r>
    </w:p>
    <w:p w:rsidR="0056192C" w:rsidRDefault="00297432">
      <w:pPr>
        <w:numPr>
          <w:ilvl w:val="0"/>
          <w:numId w:val="11"/>
        </w:numPr>
        <w:spacing w:line="360" w:lineRule="auto"/>
      </w:pPr>
      <w:r>
        <w:t xml:space="preserve">End-of-therapy for active TB that included pulmonary, pleural, or other intrathoracic components (e.g., hilar or mediastinal lymphadenopathy). </w:t>
      </w:r>
    </w:p>
    <w:p w:rsidR="0056192C" w:rsidRDefault="00297432">
      <w:pPr>
        <w:numPr>
          <w:ilvl w:val="0"/>
          <w:numId w:val="11"/>
        </w:numPr>
        <w:spacing w:after="120" w:line="360" w:lineRule="auto"/>
      </w:pPr>
      <w:r>
        <w:t>As otherwise directed by the Colorado Depar</w:t>
      </w:r>
      <w:r>
        <w:t xml:space="preserve">tment of Public Health and Environment’s TB nurse consultant </w:t>
      </w:r>
    </w:p>
    <w:p w:rsidR="0056192C" w:rsidRDefault="00297432">
      <w:pPr>
        <w:spacing w:before="40" w:after="120" w:line="360" w:lineRule="auto"/>
        <w:ind w:left="720"/>
      </w:pPr>
      <w:r>
        <w:t>Notes:</w:t>
      </w:r>
    </w:p>
    <w:p w:rsidR="0056192C" w:rsidRDefault="00297432">
      <w:pPr>
        <w:numPr>
          <w:ilvl w:val="0"/>
          <w:numId w:val="2"/>
        </w:numPr>
        <w:spacing w:before="40" w:after="120" w:line="360" w:lineRule="auto"/>
      </w:pPr>
      <w:r>
        <w:t xml:space="preserve">Patients undergoing administrative screening (e.g., for healthcare employment or school) who have a history of both a previous positive skin test AND a subsequent normal chest radiograph </w:t>
      </w:r>
      <w:r>
        <w:t>should be referred to the provider who conducted these examinations for the appropriate documentation to provide to their employer. These patients may be invited to return with this documentation when considering treatment for TB infection if they are inte</w:t>
      </w:r>
      <w:r>
        <w:t xml:space="preserve">rested in treatment and meet the criteria for targeted testing and do not have insurance.   </w:t>
      </w:r>
    </w:p>
    <w:p w:rsidR="0056192C" w:rsidRDefault="00297432">
      <w:pPr>
        <w:numPr>
          <w:ilvl w:val="0"/>
          <w:numId w:val="2"/>
        </w:numPr>
        <w:spacing w:before="40" w:after="120" w:line="360" w:lineRule="auto"/>
        <w:rPr>
          <w:color w:val="000000"/>
        </w:rPr>
      </w:pPr>
      <w:r>
        <w:t>Pregnancy and lactation are not contraindications for CXR and it is imperative that active pulmonary disease is ruled out prior to delivery. If the patient is asym</w:t>
      </w:r>
      <w:r>
        <w:t>ptomatic (confirmed on physical assessment), the CXR can be delayed until the second trimester. If the patient has symptoms of pulmonary disease, the CXR should be performed immediately.</w:t>
      </w:r>
    </w:p>
    <w:p w:rsidR="0056192C" w:rsidRDefault="00297432">
      <w:pPr>
        <w:spacing w:before="40" w:after="120" w:line="360" w:lineRule="auto"/>
        <w:ind w:firstLine="720"/>
        <w:rPr>
          <w:b/>
          <w:color w:val="000000"/>
        </w:rPr>
      </w:pPr>
      <w:r>
        <w:rPr>
          <w:b/>
          <w:smallCaps/>
          <w:color w:val="000000"/>
        </w:rPr>
        <w:t>Questions or concerns</w:t>
      </w:r>
      <w:r>
        <w:rPr>
          <w:b/>
          <w:color w:val="000000"/>
        </w:rPr>
        <w:t>:</w:t>
      </w:r>
    </w:p>
    <w:p w:rsidR="0056192C" w:rsidRDefault="00297432">
      <w:pPr>
        <w:spacing w:before="40" w:after="120" w:line="360" w:lineRule="auto"/>
        <w:ind w:firstLine="720"/>
        <w:rPr>
          <w:color w:val="000000"/>
        </w:rPr>
      </w:pPr>
      <w:r>
        <w:rPr>
          <w:color w:val="000000"/>
        </w:rPr>
        <w:t>In the event of questions or concerns, call Dr</w:t>
      </w:r>
      <w:r>
        <w:rPr>
          <w:color w:val="000000"/>
        </w:rPr>
        <w:t xml:space="preserve">. ____________________________at     </w:t>
      </w:r>
    </w:p>
    <w:p w:rsidR="0056192C" w:rsidRDefault="00297432">
      <w:pPr>
        <w:spacing w:before="40" w:after="120" w:line="360" w:lineRule="auto"/>
        <w:ind w:firstLine="720"/>
        <w:rPr>
          <w:color w:val="000000"/>
        </w:rPr>
      </w:pPr>
      <w:r>
        <w:t>________</w:t>
      </w:r>
      <w:r>
        <w:rPr>
          <w:color w:val="000000"/>
        </w:rPr>
        <w:t>_____________________.</w:t>
      </w:r>
    </w:p>
    <w:p w:rsidR="0056192C" w:rsidRDefault="0056192C">
      <w:pPr>
        <w:spacing w:before="40" w:after="120" w:line="360" w:lineRule="auto"/>
        <w:ind w:left="360"/>
        <w:rPr>
          <w:color w:val="000000"/>
        </w:rPr>
      </w:pPr>
    </w:p>
    <w:p w:rsidR="0056192C" w:rsidRDefault="00297432">
      <w:pPr>
        <w:pBdr>
          <w:top w:val="single" w:sz="24" w:space="20" w:color="000000"/>
        </w:pBdr>
        <w:spacing w:before="240" w:after="360"/>
        <w:rPr>
          <w:color w:val="000000"/>
        </w:rPr>
      </w:pPr>
      <w:r>
        <w:rPr>
          <w:b/>
          <w:color w:val="000000"/>
        </w:rPr>
        <w:t xml:space="preserve">This protocol shall remain in effect for all patients of </w:t>
      </w:r>
      <w:r>
        <w:rPr>
          <w:color w:val="000000"/>
        </w:rPr>
        <w:t>______________________________</w:t>
      </w:r>
      <w:r>
        <w:rPr>
          <w:b/>
          <w:color w:val="000000"/>
        </w:rPr>
        <w:t xml:space="preserve">until rescinded or until </w:t>
      </w:r>
      <w:r>
        <w:rPr>
          <w:color w:val="000000"/>
        </w:rPr>
        <w:t>_____________________________________.</w:t>
      </w:r>
    </w:p>
    <w:p w:rsidR="0056192C" w:rsidRDefault="00297432">
      <w:pPr>
        <w:tabs>
          <w:tab w:val="right" w:pos="10800"/>
        </w:tabs>
        <w:spacing w:before="240"/>
        <w:rPr>
          <w:b/>
          <w:color w:val="000000"/>
        </w:rPr>
      </w:pPr>
      <w:r>
        <w:rPr>
          <w:b/>
          <w:color w:val="000000"/>
        </w:rPr>
        <w:t xml:space="preserve">Name of prescriber:   </w:t>
      </w:r>
      <w:r>
        <w:rPr>
          <w:color w:val="000000"/>
        </w:rPr>
        <w:tab/>
      </w:r>
    </w:p>
    <w:p w:rsidR="0056192C" w:rsidRDefault="00297432">
      <w:pPr>
        <w:tabs>
          <w:tab w:val="right" w:pos="10800"/>
        </w:tabs>
        <w:spacing w:before="360" w:after="40"/>
        <w:rPr>
          <w:b/>
          <w:color w:val="000000"/>
        </w:rPr>
      </w:pPr>
      <w:r>
        <w:rPr>
          <w:b/>
          <w:color w:val="000000"/>
        </w:rPr>
        <w:lastRenderedPageBreak/>
        <w:t>Signature:</w:t>
      </w:r>
      <w:r>
        <w:rPr>
          <w:color w:val="000000"/>
        </w:rPr>
        <w:tab/>
      </w:r>
    </w:p>
    <w:p w:rsidR="0056192C" w:rsidRDefault="00297432">
      <w:pPr>
        <w:tabs>
          <w:tab w:val="right" w:pos="3600"/>
        </w:tabs>
        <w:spacing w:before="360" w:after="40"/>
      </w:pPr>
      <w:r>
        <w:rPr>
          <w:b/>
          <w:color w:val="000000"/>
        </w:rPr>
        <w:t>Date:</w:t>
      </w:r>
      <w:r>
        <w:rPr>
          <w:color w:val="000000"/>
          <w:sz w:val="20"/>
          <w:szCs w:val="20"/>
        </w:rPr>
        <w:tab/>
      </w:r>
    </w:p>
    <w:sectPr w:rsidR="0056192C">
      <w:headerReference w:type="default" r:id="rId26"/>
      <w:footerReference w:type="default" r:id="rId27"/>
      <w:pgSz w:w="12240" w:h="15840"/>
      <w:pgMar w:top="900" w:right="1170" w:bottom="1440" w:left="990" w:header="36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32" w:rsidRDefault="00297432">
      <w:r>
        <w:separator/>
      </w:r>
    </w:p>
  </w:endnote>
  <w:endnote w:type="continuationSeparator" w:id="0">
    <w:p w:rsidR="00297432" w:rsidRDefault="0029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Gungsuh">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2C" w:rsidRDefault="00297432">
    <w:pPr>
      <w:pBdr>
        <w:top w:val="nil"/>
        <w:left w:val="nil"/>
        <w:bottom w:val="nil"/>
        <w:right w:val="nil"/>
        <w:between w:val="nil"/>
      </w:pBdr>
      <w:tabs>
        <w:tab w:val="center" w:pos="4320"/>
        <w:tab w:val="right" w:pos="8640"/>
        <w:tab w:val="center" w:pos="6480"/>
        <w:tab w:val="right" w:pos="10800"/>
      </w:tabs>
      <w:rPr>
        <w:rFonts w:ascii="Arial" w:eastAsia="Arial" w:hAnsi="Arial" w:cs="Arial"/>
        <w:color w:val="000000"/>
        <w:sz w:val="20"/>
        <w:szCs w:val="20"/>
      </w:rPr>
    </w:pPr>
    <w:r>
      <w:rPr>
        <w:rFonts w:ascii="Arial" w:eastAsia="Arial" w:hAnsi="Arial" w:cs="Arial"/>
        <w:color w:val="000000"/>
        <w:sz w:val="20"/>
        <w:szCs w:val="20"/>
      </w:rPr>
      <w:t>Document reviewed &amp; updated</w:t>
    </w:r>
    <w:proofErr w:type="gramStart"/>
    <w:r>
      <w:rPr>
        <w:rFonts w:ascii="Arial" w:eastAsia="Arial" w:hAnsi="Arial" w:cs="Arial"/>
        <w:color w:val="000000"/>
        <w:sz w:val="20"/>
        <w:szCs w:val="20"/>
      </w:rPr>
      <w:t>:_</w:t>
    </w:r>
    <w:proofErr w:type="gramEnd"/>
    <w:r>
      <w:rPr>
        <w:rFonts w:ascii="Arial" w:eastAsia="Arial" w:hAnsi="Arial" w:cs="Arial"/>
        <w:color w:val="000000"/>
        <w:sz w:val="20"/>
        <w:szCs w:val="20"/>
      </w:rPr>
      <w:t>___________</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0246A">
      <w:rPr>
        <w:rFonts w:ascii="Arial" w:eastAsia="Arial" w:hAnsi="Arial" w:cs="Arial"/>
        <w:color w:val="000000"/>
        <w:sz w:val="20"/>
        <w:szCs w:val="20"/>
      </w:rPr>
      <w:fldChar w:fldCharType="separate"/>
    </w:r>
    <w:r w:rsidR="004D2EC7">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20246A">
      <w:rPr>
        <w:rFonts w:ascii="Arial" w:eastAsia="Arial" w:hAnsi="Arial" w:cs="Arial"/>
        <w:color w:val="000000"/>
        <w:sz w:val="20"/>
        <w:szCs w:val="20"/>
      </w:rPr>
      <w:fldChar w:fldCharType="separate"/>
    </w:r>
    <w:r w:rsidR="004D2EC7">
      <w:rPr>
        <w:rFonts w:ascii="Arial" w:eastAsia="Arial" w:hAnsi="Arial" w:cs="Arial"/>
        <w:noProof/>
        <w:color w:val="000000"/>
        <w:sz w:val="20"/>
        <w:szCs w:val="20"/>
      </w:rPr>
      <w:t>10</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32" w:rsidRDefault="00297432">
      <w:r>
        <w:separator/>
      </w:r>
    </w:p>
  </w:footnote>
  <w:footnote w:type="continuationSeparator" w:id="0">
    <w:p w:rsidR="00297432" w:rsidRDefault="0029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2C" w:rsidRDefault="00297432">
    <w:pPr>
      <w:pBdr>
        <w:top w:val="nil"/>
        <w:left w:val="nil"/>
        <w:bottom w:val="nil"/>
        <w:right w:val="nil"/>
        <w:between w:val="nil"/>
      </w:pBdr>
      <w:tabs>
        <w:tab w:val="center" w:pos="4320"/>
        <w:tab w:val="right" w:pos="8640"/>
      </w:tabs>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54.4pt;height:353.8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8A2"/>
    <w:multiLevelType w:val="multilevel"/>
    <w:tmpl w:val="31F4C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15293C"/>
    <w:multiLevelType w:val="multilevel"/>
    <w:tmpl w:val="2B06F404"/>
    <w:lvl w:ilvl="0">
      <w:start w:val="1"/>
      <w:numFmt w:val="decimal"/>
      <w:lvlText w:val="%1"/>
      <w:lvlJc w:val="left"/>
      <w:pPr>
        <w:ind w:left="720" w:hanging="720"/>
      </w:pPr>
      <w:rPr>
        <w:rFonts w:ascii="Arial" w:eastAsia="Arial" w:hAnsi="Arial" w:cs="Arial"/>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83156"/>
    <w:multiLevelType w:val="multilevel"/>
    <w:tmpl w:val="F25677A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26A3C"/>
    <w:multiLevelType w:val="multilevel"/>
    <w:tmpl w:val="A09AB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520D47"/>
    <w:multiLevelType w:val="multilevel"/>
    <w:tmpl w:val="35682B88"/>
    <w:lvl w:ilvl="0">
      <w:start w:val="2"/>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bullet"/>
      <w:lvlText w:val="o"/>
      <w:lvlJc w:val="left"/>
      <w:pPr>
        <w:ind w:left="1440" w:hanging="360"/>
      </w:pPr>
      <w:rPr>
        <w:rFonts w:ascii="Courier New" w:eastAsia="Courier New" w:hAnsi="Courier New" w:cs="Courier New"/>
        <w:b w:val="0"/>
        <w:i w:val="0"/>
      </w:rPr>
    </w:lvl>
    <w:lvl w:ilvl="3">
      <w:start w:val="1"/>
      <w:numFmt w:val="bullet"/>
      <w:lvlText w:val="o"/>
      <w:lvlJc w:val="left"/>
      <w:pPr>
        <w:ind w:left="2880" w:hanging="360"/>
      </w:pPr>
      <w:rPr>
        <w:rFonts w:ascii="Courier New" w:eastAsia="Courier New" w:hAnsi="Courier New" w:cs="Courier New"/>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214B35"/>
    <w:multiLevelType w:val="multilevel"/>
    <w:tmpl w:val="CAD84E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440805"/>
    <w:multiLevelType w:val="multilevel"/>
    <w:tmpl w:val="923A4218"/>
    <w:lvl w:ilvl="0">
      <w:start w:val="2"/>
      <w:numFmt w:val="decimal"/>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b/>
      </w:rPr>
    </w:lvl>
    <w:lvl w:ilvl="2">
      <w:start w:val="1"/>
      <w:numFmt w:val="bullet"/>
      <w:lvlText w:val="o"/>
      <w:lvlJc w:val="left"/>
      <w:pPr>
        <w:ind w:left="1980" w:hanging="360"/>
      </w:pPr>
      <w:rPr>
        <w:rFonts w:ascii="Courier New" w:eastAsia="Courier New" w:hAnsi="Courier New" w:cs="Courier New"/>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3449A0"/>
    <w:multiLevelType w:val="multilevel"/>
    <w:tmpl w:val="A954AF5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0735BE"/>
    <w:multiLevelType w:val="multilevel"/>
    <w:tmpl w:val="FB5EDCCE"/>
    <w:lvl w:ilvl="0">
      <w:start w:val="1"/>
      <w:numFmt w:val="decimal"/>
      <w:pStyle w:val="Notes"/>
      <w:lvlText w:val="%1."/>
      <w:lvlJc w:val="left"/>
      <w:pPr>
        <w:ind w:left="2070" w:hanging="360"/>
      </w:pPr>
      <w:rPr>
        <w:b/>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9" w15:restartNumberingAfterBreak="0">
    <w:nsid w:val="470679D5"/>
    <w:multiLevelType w:val="multilevel"/>
    <w:tmpl w:val="6C823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613C9"/>
    <w:multiLevelType w:val="multilevel"/>
    <w:tmpl w:val="838039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5315CAE"/>
    <w:multiLevelType w:val="multilevel"/>
    <w:tmpl w:val="7EEA3FB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E074DB"/>
    <w:multiLevelType w:val="multilevel"/>
    <w:tmpl w:val="7C1C9D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524344E"/>
    <w:multiLevelType w:val="multilevel"/>
    <w:tmpl w:val="C8C001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7885E41"/>
    <w:multiLevelType w:val="multilevel"/>
    <w:tmpl w:val="466CFA5A"/>
    <w:lvl w:ilvl="0">
      <w:start w:val="1"/>
      <w:numFmt w:val="decimal"/>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num w:numId="1">
    <w:abstractNumId w:val="7"/>
  </w:num>
  <w:num w:numId="2">
    <w:abstractNumId w:val="14"/>
  </w:num>
  <w:num w:numId="3">
    <w:abstractNumId w:val="13"/>
  </w:num>
  <w:num w:numId="4">
    <w:abstractNumId w:val="8"/>
  </w:num>
  <w:num w:numId="5">
    <w:abstractNumId w:val="3"/>
  </w:num>
  <w:num w:numId="6">
    <w:abstractNumId w:val="10"/>
  </w:num>
  <w:num w:numId="7">
    <w:abstractNumId w:val="6"/>
  </w:num>
  <w:num w:numId="8">
    <w:abstractNumId w:val="0"/>
  </w:num>
  <w:num w:numId="9">
    <w:abstractNumId w:val="4"/>
  </w:num>
  <w:num w:numId="10">
    <w:abstractNumId w:val="9"/>
  </w:num>
  <w:num w:numId="11">
    <w:abstractNumId w:val="12"/>
  </w:num>
  <w:num w:numId="12">
    <w:abstractNumId w:val="1"/>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ysTQwNDK3NDcxNDNQ0lEKTi0uzszPAykwrAUAYtXNvCwAAAA="/>
  </w:docVars>
  <w:rsids>
    <w:rsidRoot w:val="0056192C"/>
    <w:rsid w:val="0020246A"/>
    <w:rsid w:val="00297432"/>
    <w:rsid w:val="004D2EC7"/>
    <w:rsid w:val="0056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C8CE3"/>
  <w15:docId w15:val="{8D7A1BA7-6457-4C29-AEF0-59FA366E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772842"/>
    <w:pPr>
      <w:tabs>
        <w:tab w:val="center" w:pos="4320"/>
        <w:tab w:val="right" w:pos="8640"/>
      </w:tabs>
    </w:pPr>
  </w:style>
  <w:style w:type="character" w:customStyle="1" w:styleId="HeaderChar">
    <w:name w:val="Header Char"/>
    <w:basedOn w:val="DefaultParagraphFont"/>
    <w:link w:val="Header"/>
    <w:rsid w:val="00772842"/>
    <w:rPr>
      <w:rFonts w:ascii="Times New Roman" w:eastAsia="Times New Roman" w:hAnsi="Times New Roman" w:cs="Times New Roman"/>
      <w:sz w:val="24"/>
      <w:szCs w:val="24"/>
    </w:rPr>
  </w:style>
  <w:style w:type="paragraph" w:styleId="Footer">
    <w:name w:val="footer"/>
    <w:basedOn w:val="Normal"/>
    <w:link w:val="FooterChar"/>
    <w:rsid w:val="00772842"/>
    <w:pPr>
      <w:tabs>
        <w:tab w:val="center" w:pos="4320"/>
        <w:tab w:val="right" w:pos="8640"/>
      </w:tabs>
    </w:pPr>
  </w:style>
  <w:style w:type="character" w:customStyle="1" w:styleId="FooterChar">
    <w:name w:val="Footer Char"/>
    <w:basedOn w:val="DefaultParagraphFont"/>
    <w:link w:val="Footer"/>
    <w:rsid w:val="00772842"/>
    <w:rPr>
      <w:rFonts w:ascii="Times New Roman" w:eastAsia="Times New Roman" w:hAnsi="Times New Roman" w:cs="Times New Roman"/>
      <w:sz w:val="24"/>
      <w:szCs w:val="24"/>
    </w:rPr>
  </w:style>
  <w:style w:type="paragraph" w:customStyle="1" w:styleId="Notes">
    <w:name w:val="Notes"/>
    <w:rsid w:val="00772842"/>
    <w:pPr>
      <w:numPr>
        <w:numId w:val="4"/>
      </w:numPr>
      <w:tabs>
        <w:tab w:val="num" w:pos="270"/>
      </w:tabs>
      <w:spacing w:before="20" w:after="20"/>
      <w:ind w:left="274" w:hanging="274"/>
    </w:pPr>
    <w:rPr>
      <w:rFonts w:ascii="Arial" w:hAnsi="Arial"/>
      <w:sz w:val="18"/>
    </w:rPr>
  </w:style>
  <w:style w:type="paragraph" w:styleId="Caption">
    <w:name w:val="caption"/>
    <w:basedOn w:val="Normal"/>
    <w:next w:val="Normal"/>
    <w:qFormat/>
    <w:rsid w:val="00772842"/>
    <w:rPr>
      <w:b/>
      <w:bCs/>
      <w:sz w:val="20"/>
      <w:szCs w:val="20"/>
    </w:rPr>
  </w:style>
  <w:style w:type="paragraph" w:styleId="ListParagraph">
    <w:name w:val="List Paragraph"/>
    <w:basedOn w:val="Normal"/>
    <w:uiPriority w:val="34"/>
    <w:qFormat/>
    <w:rsid w:val="00772842"/>
    <w:pPr>
      <w:ind w:left="720"/>
    </w:pPr>
    <w:rPr>
      <w:rFonts w:eastAsia="Calibri"/>
    </w:rPr>
  </w:style>
  <w:style w:type="paragraph" w:styleId="BalloonText">
    <w:name w:val="Balloon Text"/>
    <w:basedOn w:val="Normal"/>
    <w:link w:val="BalloonTextChar"/>
    <w:uiPriority w:val="99"/>
    <w:semiHidden/>
    <w:unhideWhenUsed/>
    <w:rsid w:val="008D4330"/>
    <w:rPr>
      <w:rFonts w:ascii="Tahoma" w:hAnsi="Tahoma" w:cs="Tahoma"/>
      <w:sz w:val="16"/>
      <w:szCs w:val="16"/>
    </w:rPr>
  </w:style>
  <w:style w:type="character" w:customStyle="1" w:styleId="BalloonTextChar">
    <w:name w:val="Balloon Text Char"/>
    <w:basedOn w:val="DefaultParagraphFont"/>
    <w:link w:val="BalloonText"/>
    <w:uiPriority w:val="99"/>
    <w:semiHidden/>
    <w:rsid w:val="008D433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C5B98"/>
    <w:rPr>
      <w:sz w:val="16"/>
      <w:szCs w:val="16"/>
    </w:rPr>
  </w:style>
  <w:style w:type="paragraph" w:styleId="CommentText">
    <w:name w:val="annotation text"/>
    <w:basedOn w:val="Normal"/>
    <w:link w:val="CommentTextChar"/>
    <w:uiPriority w:val="99"/>
    <w:semiHidden/>
    <w:unhideWhenUsed/>
    <w:rsid w:val="00AC5B98"/>
    <w:rPr>
      <w:sz w:val="20"/>
      <w:szCs w:val="20"/>
    </w:rPr>
  </w:style>
  <w:style w:type="character" w:customStyle="1" w:styleId="CommentTextChar">
    <w:name w:val="Comment Text Char"/>
    <w:basedOn w:val="DefaultParagraphFont"/>
    <w:link w:val="CommentText"/>
    <w:uiPriority w:val="99"/>
    <w:semiHidden/>
    <w:rsid w:val="00AC5B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5B98"/>
    <w:rPr>
      <w:b/>
      <w:bCs/>
    </w:rPr>
  </w:style>
  <w:style w:type="character" w:customStyle="1" w:styleId="CommentSubjectChar">
    <w:name w:val="Comment Subject Char"/>
    <w:basedOn w:val="CommentTextChar"/>
    <w:link w:val="CommentSubject"/>
    <w:uiPriority w:val="99"/>
    <w:semiHidden/>
    <w:rsid w:val="00AC5B98"/>
    <w:rPr>
      <w:rFonts w:ascii="Times New Roman" w:eastAsia="Times New Roman" w:hAnsi="Times New Roman"/>
      <w:b/>
      <w:bCs/>
    </w:rPr>
  </w:style>
  <w:style w:type="character" w:styleId="Emphasis">
    <w:name w:val="Emphasis"/>
    <w:basedOn w:val="DefaultParagraphFont"/>
    <w:uiPriority w:val="20"/>
    <w:qFormat/>
    <w:rsid w:val="00AC5B98"/>
    <w:rPr>
      <w:i/>
      <w:iCs/>
    </w:rPr>
  </w:style>
  <w:style w:type="character" w:customStyle="1" w:styleId="apple-converted-space">
    <w:name w:val="apple-converted-space"/>
    <w:basedOn w:val="DefaultParagraphFont"/>
    <w:rsid w:val="00AC5B98"/>
  </w:style>
  <w:style w:type="table" w:styleId="TableGrid">
    <w:name w:val="Table Grid"/>
    <w:basedOn w:val="TableNormal"/>
    <w:uiPriority w:val="59"/>
    <w:rsid w:val="004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027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58" w:type="dxa"/>
        <w:left w:w="58" w:type="dxa"/>
        <w:bottom w:w="58" w:type="dxa"/>
        <w:right w:w="58" w:type="dxa"/>
      </w:tblCellMar>
    </w:tblPr>
  </w:style>
  <w:style w:type="table" w:customStyle="1" w:styleId="a3">
    <w:basedOn w:val="TableNormal"/>
    <w:tblPr>
      <w:tblStyleRowBandSize w:val="1"/>
      <w:tblStyleColBandSize w:val="1"/>
      <w:tblCellMar>
        <w:top w:w="58" w:type="dxa"/>
        <w:left w:w="58" w:type="dxa"/>
        <w:bottom w:w="58" w:type="dxa"/>
        <w:right w:w="58" w:type="dxa"/>
      </w:tblCellMar>
    </w:tblPr>
  </w:style>
  <w:style w:type="table" w:customStyle="1" w:styleId="a4">
    <w:basedOn w:val="TableNormal"/>
    <w:tblPr>
      <w:tblStyleRowBandSize w:val="1"/>
      <w:tblStyleColBandSize w:val="1"/>
      <w:tblCellMar>
        <w:top w:w="58" w:type="dxa"/>
        <w:left w:w="58" w:type="dxa"/>
        <w:bottom w:w="58" w:type="dxa"/>
        <w:right w:w="58" w:type="dxa"/>
      </w:tblCellMar>
    </w:tblPr>
  </w:style>
  <w:style w:type="table" w:customStyle="1" w:styleId="a5">
    <w:basedOn w:val="TableNormal"/>
    <w:tblPr>
      <w:tblStyleRowBandSize w:val="1"/>
      <w:tblStyleColBandSize w:val="1"/>
      <w:tblCellMar>
        <w:top w:w="58" w:type="dxa"/>
        <w:left w:w="58" w:type="dxa"/>
        <w:bottom w:w="58" w:type="dxa"/>
        <w:right w:w="58" w:type="dxa"/>
      </w:tblCellMar>
    </w:tblPr>
  </w:style>
  <w:style w:type="table" w:customStyle="1" w:styleId="a6">
    <w:basedOn w:val="TableNormal"/>
    <w:tblPr>
      <w:tblStyleRowBandSize w:val="1"/>
      <w:tblStyleColBandSize w:val="1"/>
      <w:tblCellMar>
        <w:top w:w="58" w:type="dxa"/>
        <w:left w:w="58" w:type="dxa"/>
        <w:bottom w:w="58" w:type="dxa"/>
        <w:right w:w="58" w:type="dxa"/>
      </w:tblCellMar>
    </w:tblPr>
  </w:style>
  <w:style w:type="paragraph" w:styleId="NormalWeb">
    <w:name w:val="Normal (Web)"/>
    <w:basedOn w:val="Normal"/>
    <w:uiPriority w:val="99"/>
    <w:unhideWhenUsed/>
    <w:rsid w:val="002024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gtRX81C3EBqZLE08z3WLl5bkwu2ic6g/view" TargetMode="External"/><Relationship Id="rId13" Type="http://schemas.openxmlformats.org/officeDocument/2006/relationships/hyperlink" Target="https://dpo.colorado.gov/Nursing/Laws" TargetMode="External"/><Relationship Id="rId18" Type="http://schemas.openxmlformats.org/officeDocument/2006/relationships/hyperlink" Target="https://dpo.colorado.gov/Nursing/Law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aama-ntl.org/docs/default-source/legal/co-bome-rule-800.pdf?sfvrsn=4" TargetMode="External"/><Relationship Id="rId17" Type="http://schemas.openxmlformats.org/officeDocument/2006/relationships/hyperlink" Target="https://www.sos.state.co.us/CCR/GenerateRulePdf.do?ruleVersionId=6459&amp;fileName=6%20CCR%201014-6" TargetMode="External"/><Relationship Id="rId25" Type="http://schemas.openxmlformats.org/officeDocument/2006/relationships/hyperlink" Target="https://www.cdc.gov/vaccines/covid-19/downloads/recognizing-responding-to-anaphylaxis-508.pdf" TargetMode="External"/><Relationship Id="rId2" Type="http://schemas.openxmlformats.org/officeDocument/2006/relationships/numbering" Target="numbering.xml"/><Relationship Id="rId16" Type="http://schemas.openxmlformats.org/officeDocument/2006/relationships/hyperlink" Target="https://drive.google.com/file/d/0B2o0IwpCuPw7SU5iR0tVQUtDVzQ/view?resourcekey=0-HSeGtHXWainvTV_fkqvM1Q"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ApAO11j3NHCLvjcl7PswWQqqScHBU8IucPtg13XYFe0/edit" TargetMode="External"/><Relationship Id="rId24" Type="http://schemas.openxmlformats.org/officeDocument/2006/relationships/hyperlink" Target="https://www.immunize.org/catg.d/p3082a.pdf" TargetMode="External"/><Relationship Id="rId5" Type="http://schemas.openxmlformats.org/officeDocument/2006/relationships/webSettings" Target="webSettings.xml"/><Relationship Id="rId15" Type="http://schemas.openxmlformats.org/officeDocument/2006/relationships/hyperlink" Target="https://casetext.com/regulation/colorado-administrative-code/department-700-department-of-regulatory-agencies/division-716-division-of-professions-and-occupations-board-of-nursing/rule-3-ccr-716-1-nursing-rules-and-regulations/section-3-ccr-716-1-119-rules-and-regulations-for-the-certified-nurse-aide-in-relation-to-medication-aide-authority" TargetMode="External"/><Relationship Id="rId23" Type="http://schemas.openxmlformats.org/officeDocument/2006/relationships/hyperlink" Target="https://www.immunize.org/catg.d/p3082.pdf" TargetMode="External"/><Relationship Id="rId28" Type="http://schemas.openxmlformats.org/officeDocument/2006/relationships/fontTable" Target="fontTable.xml"/><Relationship Id="rId10" Type="http://schemas.openxmlformats.org/officeDocument/2006/relationships/hyperlink" Target="https://docs.google.com/document/d/1KJf9FPJXwP8N_h2s8vqI8hsHIxGHb6ts96prOFFxjh0/edit" TargetMode="External"/><Relationship Id="rId19" Type="http://schemas.openxmlformats.org/officeDocument/2006/relationships/hyperlink" Target="https://www.cdc.gov/tb/education/mantoux/default.htm" TargetMode="External"/><Relationship Id="rId4" Type="http://schemas.openxmlformats.org/officeDocument/2006/relationships/settings" Target="settings.xml"/><Relationship Id="rId9" Type="http://schemas.openxmlformats.org/officeDocument/2006/relationships/hyperlink" Target="https://drive.google.com/file/d/0B2o0IwpCuPw7VWJ4SDhYRXVFaFU/view?resourcekey=0-QCKjlL3rSnOviMeRYsHmtg" TargetMode="External"/><Relationship Id="rId14" Type="http://schemas.openxmlformats.org/officeDocument/2006/relationships/hyperlink" Target="https://dpo.colorado.gov/Nursing/Laws" TargetMode="External"/><Relationship Id="rId22" Type="http://schemas.openxmlformats.org/officeDocument/2006/relationships/hyperlink" Target="https://www.cdc.gov/vaccines/covid-19/downloads/recognizing-responding-to-anaphylaxis-508.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8n+ac1jAPsX1ktE2aq8yrkkTw==">AMUW2mXCr+/ItLaMdRdQh59UkuOpZg/F20IkRac8ClrHfRmF3psDYBVu+IIrsJNF+Z6npmcUV0XBQmTqJKvUtBiI9ozC5t6fnsALjwP9Ls/FBG6xHroHlmHz5XQtKpJOZ2ZCqlToU74bKXt2mUAIHmU5K3/Gc6IitggOJqHgCj828tgUfdAX7SmjFV4G5cKFDtmJpW1GtOYDFwgwI+pbITbBhJs/Jj6PHv/ICAaWzivQwKsFWsCsOUo=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3375</Words>
  <Characters>18970</Characters>
  <Application>Microsoft Office Word</Application>
  <DocSecurity>0</DocSecurity>
  <Lines>327</Lines>
  <Paragraphs>85</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pharmacy</dc:creator>
  <cp:lastModifiedBy>Ann Scarpita</cp:lastModifiedBy>
  <cp:revision>2</cp:revision>
  <dcterms:created xsi:type="dcterms:W3CDTF">2022-05-28T22:04:00Z</dcterms:created>
  <dcterms:modified xsi:type="dcterms:W3CDTF">2022-05-28T22:04:00Z</dcterms:modified>
</cp:coreProperties>
</file>